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714822500" r:id="rId9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6FD9C43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DA57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6479054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DA57DB">
        <w:rPr>
          <w:rFonts w:ascii="Times New Roman" w:hAnsi="Times New Roman" w:cs="Times New Roman"/>
          <w:b/>
          <w:sz w:val="28"/>
          <w:szCs w:val="28"/>
        </w:rPr>
        <w:t>2</w:t>
      </w:r>
    </w:p>
    <w:p w14:paraId="5DDE8CC3" w14:textId="61D97366" w:rsidR="00ED1660" w:rsidRPr="00CF470C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DCB005D" w14:textId="302621E9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62A9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65D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D9BC5D" w14:textId="77777777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F1C07B0" w14:textId="5B6B1E19" w:rsidR="00CC6834" w:rsidRDefault="00CC6834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FD5C40" w14:textId="3A55660C" w:rsidR="00DA57DB" w:rsidRPr="00DA57DB" w:rsidRDefault="00DA57DB" w:rsidP="00CF470C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</w:t>
      </w:r>
      <w:r w:rsidR="00267A5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первоначально утверждены решением Дубровского поселкового Совета народных депутатов от 14.12.2021 года №204 «О бюджете  Дубровского городского поселения Дубровского муниципального района Брянской области на 2022 год и плановый период 2023 и 2024 годы»,  по доходам в объеме 43 389,5  тыс. рублей, в том числе собственные доходы 24 888,0  тыс. рублей, по расходам в объеме 43 389,5  тыс. рублей,  сбалансированным.</w:t>
      </w:r>
    </w:p>
    <w:p w14:paraId="63C8C376" w14:textId="77777777" w:rsidR="00DA57DB" w:rsidRPr="00DA57DB" w:rsidRDefault="00DA57DB" w:rsidP="00CF470C">
      <w:pPr>
        <w:spacing w:after="0" w:line="240" w:lineRule="auto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решение  изменения не вносились.</w:t>
      </w:r>
      <w:r w:rsidRPr="00DA5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20FB7D6" w14:textId="77777777" w:rsidR="00CC6834" w:rsidRPr="00ED1660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D6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Pr="00ED1660">
        <w:rPr>
          <w:rFonts w:ascii="Times New Roman" w:hAnsi="Times New Roman" w:cs="Times New Roman"/>
          <w:b/>
          <w:sz w:val="28"/>
          <w:szCs w:val="28"/>
        </w:rPr>
        <w:t>.</w:t>
      </w:r>
    </w:p>
    <w:p w14:paraId="4FC49D72" w14:textId="77777777" w:rsidR="00CF470C" w:rsidRDefault="00B1614C" w:rsidP="00CF470C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Доходная часть бюджета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за 1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2022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</w:t>
      </w:r>
    </w:p>
    <w:p w14:paraId="78ED9328" w14:textId="44D8EEF6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5 034,4</w:t>
      </w:r>
      <w:r w:rsidRPr="00CF470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или 12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,0% к утвержденным годовым назначениям. По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сравнению с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прошлого года,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доходы снизились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5 784,6 тыс. рублей. В структуре доходов бюджета удельный вес собственных доходов составил 20,2%, что ниже соответствующего периода прошлого года на 0,2, процентного пункта. Налоговые и неналоговые доходы бюджета в сравнении с отчетным периодом прошлого года уменьшились   на 0,2% или на 639,4 тыс. рублей, объем безвозмездных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поступлений уменьшился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100%, или на </w:t>
      </w:r>
      <w:r w:rsidRPr="00CF470C">
        <w:rPr>
          <w:rFonts w:ascii="Times New Roman" w:eastAsiaTheme="minorEastAsia" w:hAnsi="Times New Roman"/>
          <w:bCs/>
          <w:sz w:val="28"/>
          <w:szCs w:val="28"/>
          <w:lang w:eastAsia="ru-RU"/>
        </w:rPr>
        <w:t>6 424,1</w:t>
      </w:r>
      <w:r w:rsidRPr="00CF470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рублей. На долю безвозмездных поступлений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приходится 100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,0 процента. </w:t>
      </w:r>
    </w:p>
    <w:p w14:paraId="534125D0" w14:textId="51543752" w:rsidR="00B1614C" w:rsidRPr="00CF470C" w:rsidRDefault="00B1614C" w:rsidP="00CF470C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Сведения о поступлении доходов за 1  квартал  2022  года приведены в таблице</w:t>
      </w:r>
      <w:r w:rsidR="00267A53" w:rsidRPr="00CF470C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</w:t>
      </w:r>
      <w:r w:rsidR="00267A53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(тыс. руб.)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701"/>
        <w:gridCol w:w="1559"/>
        <w:gridCol w:w="1276"/>
        <w:gridCol w:w="1276"/>
        <w:gridCol w:w="1275"/>
      </w:tblGrid>
      <w:tr w:rsidR="00B1614C" w:rsidRPr="00CF470C" w14:paraId="7446B7A3" w14:textId="77777777" w:rsidTr="00267A53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47608" w14:textId="26DB2A78" w:rsidR="00B1614C" w:rsidRPr="00CF470C" w:rsidRDefault="00B1614C" w:rsidP="00CF470C">
            <w:pPr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0BFB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3087D4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47BB729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2021г.</w:t>
            </w:r>
          </w:p>
          <w:p w14:paraId="7D2834F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A83E7D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61879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Уточнено</w:t>
            </w:r>
          </w:p>
          <w:p w14:paraId="159C2C1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55101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1157AA4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2022г.</w:t>
            </w:r>
          </w:p>
        </w:tc>
        <w:tc>
          <w:tcPr>
            <w:tcW w:w="1276" w:type="dxa"/>
            <w:vAlign w:val="center"/>
          </w:tcPr>
          <w:p w14:paraId="6B2CF69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 исполнения</w:t>
            </w:r>
          </w:p>
          <w:p w14:paraId="36FC0FC6" w14:textId="5BF995F9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F6012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</w:t>
            </w:r>
          </w:p>
          <w:p w14:paraId="3E9760C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исполнения</w:t>
            </w:r>
          </w:p>
          <w:p w14:paraId="331CD5E6" w14:textId="700D681B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2022/2021</w:t>
            </w:r>
          </w:p>
        </w:tc>
      </w:tr>
      <w:tr w:rsidR="00B1614C" w:rsidRPr="00CF470C" w14:paraId="1E05BB9C" w14:textId="77777777" w:rsidTr="00267A53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FD54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7238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14:paraId="030A8DC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ED79F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14:paraId="1F6D93F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225E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</w:tr>
      <w:tr w:rsidR="00B1614C" w:rsidRPr="00CF470C" w14:paraId="2D6921BA" w14:textId="77777777" w:rsidTr="00267A53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E5259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Доходы бюджета всего, </w:t>
            </w:r>
          </w:p>
          <w:p w14:paraId="5CFB0039" w14:textId="34C52662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в т.ч</w:t>
            </w:r>
          </w:p>
          <w:p w14:paraId="24447F86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CF1F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10 819,0</w:t>
            </w:r>
          </w:p>
        </w:tc>
        <w:tc>
          <w:tcPr>
            <w:tcW w:w="1559" w:type="dxa"/>
            <w:vAlign w:val="center"/>
          </w:tcPr>
          <w:p w14:paraId="213BC37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43 389,5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55B6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0A5075B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C05AD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46,5</w:t>
            </w:r>
          </w:p>
        </w:tc>
      </w:tr>
      <w:tr w:rsidR="00B1614C" w:rsidRPr="00CF470C" w14:paraId="268383BE" w14:textId="77777777" w:rsidTr="00267A53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4894E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Налоговые и неналоговые доходы, </w:t>
            </w:r>
          </w:p>
          <w:p w14:paraId="353FA494" w14:textId="6DAF3A82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998A9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4 395,0</w:t>
            </w:r>
          </w:p>
        </w:tc>
        <w:tc>
          <w:tcPr>
            <w:tcW w:w="1559" w:type="dxa"/>
            <w:vAlign w:val="center"/>
          </w:tcPr>
          <w:p w14:paraId="4E66D85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24 888,0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6436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6BD43F9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8BC7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114,5</w:t>
            </w:r>
          </w:p>
        </w:tc>
      </w:tr>
      <w:tr w:rsidR="00B1614C" w:rsidRPr="00CF470C" w14:paraId="28D967A0" w14:textId="77777777" w:rsidTr="00267A53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61C753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28709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4 187,3</w:t>
            </w:r>
          </w:p>
        </w:tc>
        <w:tc>
          <w:tcPr>
            <w:tcW w:w="1559" w:type="dxa"/>
            <w:vAlign w:val="center"/>
          </w:tcPr>
          <w:p w14:paraId="3273A4C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23 938,0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6077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4 935,0</w:t>
            </w:r>
          </w:p>
        </w:tc>
        <w:tc>
          <w:tcPr>
            <w:tcW w:w="1276" w:type="dxa"/>
            <w:vAlign w:val="center"/>
          </w:tcPr>
          <w:p w14:paraId="45D8520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F46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117,9</w:t>
            </w:r>
          </w:p>
        </w:tc>
      </w:tr>
      <w:tr w:rsidR="00B1614C" w:rsidRPr="00CF470C" w14:paraId="03E3CA33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929FC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7C7F9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854,7</w:t>
            </w:r>
          </w:p>
        </w:tc>
        <w:tc>
          <w:tcPr>
            <w:tcW w:w="1559" w:type="dxa"/>
            <w:vAlign w:val="center"/>
          </w:tcPr>
          <w:p w14:paraId="3B38866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3 979,0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9B5A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738,2</w:t>
            </w:r>
          </w:p>
        </w:tc>
        <w:tc>
          <w:tcPr>
            <w:tcW w:w="1276" w:type="dxa"/>
            <w:vAlign w:val="center"/>
          </w:tcPr>
          <w:p w14:paraId="780A880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175D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86,4</w:t>
            </w:r>
          </w:p>
        </w:tc>
      </w:tr>
      <w:tr w:rsidR="00B1614C" w:rsidRPr="00CF470C" w14:paraId="4DC03497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0C65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14:paraId="6856D4B2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62A949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94571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1 848,0</w:t>
            </w:r>
          </w:p>
        </w:tc>
        <w:tc>
          <w:tcPr>
            <w:tcW w:w="1559" w:type="dxa"/>
            <w:vAlign w:val="center"/>
          </w:tcPr>
          <w:p w14:paraId="77DD606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9 212,0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8037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1957,0</w:t>
            </w:r>
          </w:p>
        </w:tc>
        <w:tc>
          <w:tcPr>
            <w:tcW w:w="1276" w:type="dxa"/>
            <w:vAlign w:val="center"/>
          </w:tcPr>
          <w:p w14:paraId="4E3ADBE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21,2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1312A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105,9</w:t>
            </w:r>
          </w:p>
        </w:tc>
      </w:tr>
      <w:tr w:rsidR="00B1614C" w:rsidRPr="00CF470C" w14:paraId="2AF31DE2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E521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0BA0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16,0</w:t>
            </w:r>
          </w:p>
        </w:tc>
        <w:tc>
          <w:tcPr>
            <w:tcW w:w="1559" w:type="dxa"/>
            <w:vAlign w:val="center"/>
          </w:tcPr>
          <w:p w14:paraId="063ED30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31831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4,0</w:t>
            </w:r>
          </w:p>
        </w:tc>
        <w:tc>
          <w:tcPr>
            <w:tcW w:w="1276" w:type="dxa"/>
            <w:vAlign w:val="center"/>
          </w:tcPr>
          <w:p w14:paraId="0D7EC5E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AD96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25,0</w:t>
            </w:r>
          </w:p>
        </w:tc>
      </w:tr>
      <w:tr w:rsidR="00B1614C" w:rsidRPr="00CF470C" w14:paraId="21EC8614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CE3C4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BF73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121,3</w:t>
            </w:r>
          </w:p>
        </w:tc>
        <w:tc>
          <w:tcPr>
            <w:tcW w:w="1559" w:type="dxa"/>
            <w:vAlign w:val="center"/>
          </w:tcPr>
          <w:p w14:paraId="1478D1E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85B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313,6</w:t>
            </w:r>
          </w:p>
        </w:tc>
        <w:tc>
          <w:tcPr>
            <w:tcW w:w="1276" w:type="dxa"/>
            <w:vAlign w:val="center"/>
          </w:tcPr>
          <w:p w14:paraId="1384219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08DBF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258,5</w:t>
            </w:r>
          </w:p>
        </w:tc>
      </w:tr>
      <w:tr w:rsidR="00B1614C" w:rsidRPr="00CF470C" w14:paraId="5034FEC2" w14:textId="77777777" w:rsidTr="00267A53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E068D6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01229CB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3743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1 347,3</w:t>
            </w:r>
          </w:p>
        </w:tc>
        <w:tc>
          <w:tcPr>
            <w:tcW w:w="1559" w:type="dxa"/>
            <w:vAlign w:val="center"/>
          </w:tcPr>
          <w:p w14:paraId="5BEF653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7 492,0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0AA32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1 922,2</w:t>
            </w:r>
          </w:p>
        </w:tc>
        <w:tc>
          <w:tcPr>
            <w:tcW w:w="1276" w:type="dxa"/>
            <w:vAlign w:val="center"/>
          </w:tcPr>
          <w:p w14:paraId="552282F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7D9A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142,7</w:t>
            </w:r>
          </w:p>
        </w:tc>
      </w:tr>
      <w:tr w:rsidR="00B1614C" w:rsidRPr="00CF470C" w14:paraId="7202AF9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08108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Неналоговые доходы, </w:t>
            </w:r>
          </w:p>
          <w:p w14:paraId="1C1E2954" w14:textId="5F89E484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42E9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207,7</w:t>
            </w:r>
          </w:p>
        </w:tc>
        <w:tc>
          <w:tcPr>
            <w:tcW w:w="1559" w:type="dxa"/>
            <w:vAlign w:val="center"/>
          </w:tcPr>
          <w:p w14:paraId="231D3898" w14:textId="40F903BA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950,0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10E6D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99,4</w:t>
            </w:r>
          </w:p>
        </w:tc>
        <w:tc>
          <w:tcPr>
            <w:tcW w:w="1276" w:type="dxa"/>
            <w:vAlign w:val="center"/>
          </w:tcPr>
          <w:p w14:paraId="2A75058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2A93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47,9</w:t>
            </w:r>
          </w:p>
        </w:tc>
      </w:tr>
      <w:tr w:rsidR="00B1614C" w:rsidRPr="00CF470C" w14:paraId="4763A3D4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83E4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A09A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559" w:type="dxa"/>
            <w:vAlign w:val="center"/>
          </w:tcPr>
          <w:p w14:paraId="76F0254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1F84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16,0</w:t>
            </w:r>
          </w:p>
        </w:tc>
        <w:tc>
          <w:tcPr>
            <w:tcW w:w="1276" w:type="dxa"/>
            <w:vAlign w:val="center"/>
          </w:tcPr>
          <w:p w14:paraId="132E37D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205B8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149,5</w:t>
            </w:r>
          </w:p>
        </w:tc>
      </w:tr>
      <w:tr w:rsidR="00B1614C" w:rsidRPr="00CF470C" w14:paraId="1DBDF7D3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90E3F1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856BE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168,9</w:t>
            </w:r>
          </w:p>
        </w:tc>
        <w:tc>
          <w:tcPr>
            <w:tcW w:w="1559" w:type="dxa"/>
            <w:vAlign w:val="center"/>
          </w:tcPr>
          <w:p w14:paraId="7A89E84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0670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76,2</w:t>
            </w:r>
          </w:p>
        </w:tc>
        <w:tc>
          <w:tcPr>
            <w:tcW w:w="1276" w:type="dxa"/>
            <w:vAlign w:val="center"/>
          </w:tcPr>
          <w:p w14:paraId="7F9C2CD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9,8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1E72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45,1</w:t>
            </w:r>
          </w:p>
        </w:tc>
      </w:tr>
      <w:tr w:rsidR="00B1614C" w:rsidRPr="00CF470C" w14:paraId="7F285B5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90AA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7AA0E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28,1</w:t>
            </w:r>
          </w:p>
        </w:tc>
        <w:tc>
          <w:tcPr>
            <w:tcW w:w="1559" w:type="dxa"/>
            <w:vAlign w:val="center"/>
          </w:tcPr>
          <w:p w14:paraId="2B7C926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08EE8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1276" w:type="dxa"/>
            <w:vAlign w:val="center"/>
          </w:tcPr>
          <w:p w14:paraId="22B48A7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30B8A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25,6</w:t>
            </w:r>
          </w:p>
        </w:tc>
      </w:tr>
      <w:tr w:rsidR="00B1614C" w:rsidRPr="00CF470C" w14:paraId="7E8C75EF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625A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F55D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4D2D726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8A839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3E79D4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9DA6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462DCC8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54DD4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D7AF8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475D57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A0C2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600B4D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68E4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591747C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D405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Безвозмездные поступления,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A6B3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6 424,1</w:t>
            </w:r>
          </w:p>
        </w:tc>
        <w:tc>
          <w:tcPr>
            <w:tcW w:w="1559" w:type="dxa"/>
            <w:vAlign w:val="center"/>
          </w:tcPr>
          <w:p w14:paraId="7EA0623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18 501,5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E3CEA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37B1F2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66F02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75410930" w14:textId="77777777" w:rsidTr="00267A53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2A828C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F377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185F746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0222C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9FE354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F4CC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65EAC036" w14:textId="77777777" w:rsidTr="00267A53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0A7EA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9D59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6 424,1</w:t>
            </w:r>
          </w:p>
        </w:tc>
        <w:tc>
          <w:tcPr>
            <w:tcW w:w="1559" w:type="dxa"/>
            <w:vAlign w:val="center"/>
          </w:tcPr>
          <w:p w14:paraId="5A72C9A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18 501,5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B0064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BEDCB7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A3E08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70024790" w14:textId="77777777" w:rsidTr="00267A53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DCD7F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5624B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0BCADE8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8231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8F7ADE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6803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0C0FA9EA" w14:textId="77777777" w:rsidTr="00267A53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045B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0493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C0494F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4DD5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3B4E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4841C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</w:tbl>
    <w:p w14:paraId="4FF621D7" w14:textId="77777777" w:rsidR="00B1614C" w:rsidRPr="00CF470C" w:rsidRDefault="00B1614C" w:rsidP="00CF470C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307D18E9" w14:textId="42DE9CD8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На долю налоговых доходов в структуре собственных доходов бюджета приходится 98,</w:t>
      </w:r>
      <w:r w:rsidR="00CF470C" w:rsidRPr="00CF470C">
        <w:rPr>
          <w:rFonts w:ascii="Times New Roman" w:eastAsiaTheme="minorEastAsia" w:hAnsi="Times New Roman"/>
          <w:sz w:val="28"/>
          <w:szCs w:val="28"/>
          <w:lang w:eastAsia="ru-RU"/>
        </w:rPr>
        <w:t>0 процента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. В абсолютном выражении поступления в бюджет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составили 4935,0 тыс. рублей 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20,2 % годовых плановых назначений. Основным налогом, которым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сформирована доходная часть бюджета за 1 квартал 2022 года, является   налог на доходы физических лиц. На его долю приходится 39,6% поступивших налоговых доходов.</w:t>
      </w:r>
    </w:p>
    <w:p w14:paraId="4A317A63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1957,0тыс. рублей, годовые плановые назначения исполнены на 21,2%, доля в собственных доходах составляет 38,9%. </w:t>
      </w:r>
    </w:p>
    <w:p w14:paraId="6730F656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поступил в бюджет в сумме 313,6 тыс. рублей,  или 10,0% годовых плановых назначений. Доля налога в собственных доходах составляет 6,2%. </w:t>
      </w:r>
    </w:p>
    <w:p w14:paraId="5C67414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Акцизы  по подакцизным товарам (нефтепродукты)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738,2 тыс. рублей, годовые плановые назначения исполнены на 18,5%, доля в собственных доходах составляет 14,7%.</w:t>
      </w:r>
    </w:p>
    <w:p w14:paraId="0040C459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 поступления </w:t>
      </w: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земельного налога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 1922,2 тыс. рублей, или 25,6% годовых плановых назначений. Доля налога в собственных доходах составляет 38,2%. </w:t>
      </w:r>
    </w:p>
    <w:p w14:paraId="4FB9459A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Единый сельскохозяйственный налог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поступил в бюджет в сумме 4,0 тыс. рублей, или 2,6% годовых плановых назначений. Доля налога в собственных доходах составляет 0,08%. </w:t>
      </w:r>
    </w:p>
    <w:p w14:paraId="11AFF26D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5F3FA6B" w14:textId="77777777" w:rsidR="00B1614C" w:rsidRPr="00CF470C" w:rsidRDefault="00B1614C" w:rsidP="00CF470C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Неналоговые доходы</w:t>
      </w:r>
    </w:p>
    <w:p w14:paraId="1BDAA4E7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2,0  процента.  В абсолютном выражении поступления в бюджет составили 99,4 тыс. рублей или 10,5% годовых плановых назначений. Наибольший удельный вес по группе неналоговых доходов занимают:</w:t>
      </w: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</w:p>
    <w:p w14:paraId="2DF4F71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составил 76,2 тыс. рублей, или 9,8% годовых плановых назначений. Доля налога в собственных доходах составляет 1,5%. </w:t>
      </w:r>
    </w:p>
    <w:p w14:paraId="29B786D8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составили 7,2 тыс. рублей, или 7,2% годовых плановых назначений. Доля в собственных доходах составляет 0,14%. </w:t>
      </w:r>
    </w:p>
    <w:p w14:paraId="00BCD86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Доходы от сдачи в аренду имущества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составили 16,0 тыс. рублей, или 25,0% годовых плановых назначений. Доля в собственных доходах составляет 0,3%. </w:t>
      </w:r>
    </w:p>
    <w:p w14:paraId="67C58E6C" w14:textId="77777777" w:rsidR="00B1614C" w:rsidRPr="00CF470C" w:rsidRDefault="00B1614C" w:rsidP="00CF470C">
      <w:pPr>
        <w:numPr>
          <w:ilvl w:val="1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20F5C43E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Безвозмездных поступлений за 1 квартал 2022 года не поступало.</w:t>
      </w:r>
    </w:p>
    <w:p w14:paraId="0F7638E5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C40CAF" w14:textId="22A5147C" w:rsidR="00B1614C" w:rsidRPr="00CF470C" w:rsidRDefault="00CF470C" w:rsidP="00CF470C">
      <w:pPr>
        <w:pStyle w:val="a7"/>
        <w:spacing w:after="0" w:line="240" w:lineRule="auto"/>
        <w:ind w:left="0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Расходная часть бюджета за 1 квартал 2022</w:t>
      </w:r>
      <w:r w:rsidR="00B1614C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6 440,3 тыс. рублей, или  14,8% к утвержденным годовым назначениям.  По сравнению  с аналогичным уровнем прошлого года, расходы  снизились на 6 571,8 тыс. рублей. Исполнение расходов бюджета за 1 квартал 2022 года  составило 6 440,3 тыс. рублей, что соответствует 14,8% уточненной бюджетной росписи. К уровню расходов аналогичного периода прошлого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года, расходы в абсолютном значении уменьшились на 6 571,8  тыс. рублей, или на 49,5 процента.</w:t>
      </w:r>
    </w:p>
    <w:p w14:paraId="252763A7" w14:textId="77777777" w:rsidR="00B1614C" w:rsidRPr="00CF470C" w:rsidRDefault="00B1614C" w:rsidP="00CF470C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321B3F70" w14:textId="1A3B3A98" w:rsidR="00B1614C" w:rsidRPr="00CF470C" w:rsidRDefault="00B1614C" w:rsidP="00CF470C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2. Анализ исполнения расходов по разделам и подразделам бюджетной классификации расходов бюджетов</w:t>
      </w:r>
    </w:p>
    <w:p w14:paraId="5A5D73D8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Исполнение расходов бюджета за 1 квартал 2022 года осуществлялось по 7 разделам бюджетной классификации. Наибольший удельный вес в общем объеме расходов составили расходы по разделу:  05 «Жилищно-коммунальное хозяйство, с удельным весом в общем объеме расходов 42,2 процентов.</w:t>
      </w:r>
    </w:p>
    <w:p w14:paraId="4E31FC3C" w14:textId="77777777" w:rsidR="00B1614C" w:rsidRPr="00CF470C" w:rsidRDefault="00B1614C" w:rsidP="00CF470C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расходах за  1  квартал  2022  года представлены в  таблице.</w:t>
      </w:r>
    </w:p>
    <w:p w14:paraId="6EA670AC" w14:textId="09F46DC0" w:rsidR="00B1614C" w:rsidRPr="00CF470C" w:rsidRDefault="00B1614C" w:rsidP="00CF470C">
      <w:pPr>
        <w:widowControl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3"/>
        <w:gridCol w:w="1276"/>
        <w:gridCol w:w="1417"/>
        <w:gridCol w:w="1418"/>
        <w:gridCol w:w="1417"/>
      </w:tblGrid>
      <w:tr w:rsidR="00B1614C" w:rsidRPr="00CF470C" w14:paraId="673E5AEE" w14:textId="77777777" w:rsidTr="00267A53">
        <w:trPr>
          <w:trHeight w:val="2346"/>
        </w:trPr>
        <w:tc>
          <w:tcPr>
            <w:tcW w:w="2411" w:type="dxa"/>
          </w:tcPr>
          <w:p w14:paraId="023D5F6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78117D5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E7C091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774B4F8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34F7D1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2B7DA91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0ECD1F91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E40BE5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4D2E01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68EB3C6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3790CCB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5EC854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DC13A0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РЗ</w:t>
            </w:r>
          </w:p>
        </w:tc>
        <w:tc>
          <w:tcPr>
            <w:tcW w:w="1383" w:type="dxa"/>
            <w:vAlign w:val="center"/>
          </w:tcPr>
          <w:p w14:paraId="48DCCEF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9FD26E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FC992A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530CEA3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2021г.</w:t>
            </w:r>
          </w:p>
          <w:p w14:paraId="3182F58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81163C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Уточнено</w:t>
            </w:r>
          </w:p>
          <w:p w14:paraId="1E2DA42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2022г.</w:t>
            </w:r>
          </w:p>
        </w:tc>
        <w:tc>
          <w:tcPr>
            <w:tcW w:w="1417" w:type="dxa"/>
            <w:vAlign w:val="center"/>
          </w:tcPr>
          <w:p w14:paraId="58005F3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2151870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2022г.</w:t>
            </w:r>
          </w:p>
        </w:tc>
        <w:tc>
          <w:tcPr>
            <w:tcW w:w="1418" w:type="dxa"/>
            <w:vAlign w:val="center"/>
          </w:tcPr>
          <w:p w14:paraId="4FB65E1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 исполнения</w:t>
            </w:r>
          </w:p>
          <w:p w14:paraId="2244F2A0" w14:textId="01230E55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A1C9C2C" w14:textId="77777777" w:rsidR="00B1614C" w:rsidRPr="00CF470C" w:rsidRDefault="00B1614C" w:rsidP="00CF470C">
            <w:pPr>
              <w:spacing w:after="0" w:line="240" w:lineRule="auto"/>
              <w:ind w:right="215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</w:t>
            </w:r>
          </w:p>
          <w:p w14:paraId="46A018B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исполнения</w:t>
            </w:r>
          </w:p>
          <w:p w14:paraId="06E1821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2022/2021</w:t>
            </w:r>
          </w:p>
          <w:p w14:paraId="14499DFB" w14:textId="38E99378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B1614C" w:rsidRPr="00CF470C" w14:paraId="3F74D9A4" w14:textId="77777777" w:rsidTr="00267A53">
        <w:tc>
          <w:tcPr>
            <w:tcW w:w="2411" w:type="dxa"/>
          </w:tcPr>
          <w:p w14:paraId="5E3357D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14:paraId="72BEBFB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1383" w:type="dxa"/>
            <w:vAlign w:val="center"/>
          </w:tcPr>
          <w:p w14:paraId="1ACD575A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29CCE0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49863B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</w:tcPr>
          <w:p w14:paraId="4537464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748F7B29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7</w:t>
            </w:r>
          </w:p>
        </w:tc>
      </w:tr>
      <w:tr w:rsidR="00B1614C" w:rsidRPr="00CF470C" w14:paraId="552348DA" w14:textId="77777777" w:rsidTr="00267A53">
        <w:tc>
          <w:tcPr>
            <w:tcW w:w="2411" w:type="dxa"/>
            <w:vAlign w:val="center"/>
          </w:tcPr>
          <w:p w14:paraId="00CE4B4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52A0549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383" w:type="dxa"/>
            <w:vAlign w:val="center"/>
          </w:tcPr>
          <w:p w14:paraId="381980FC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45,0</w:t>
            </w:r>
          </w:p>
        </w:tc>
        <w:tc>
          <w:tcPr>
            <w:tcW w:w="1276" w:type="dxa"/>
            <w:vAlign w:val="center"/>
          </w:tcPr>
          <w:p w14:paraId="4576231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145,2</w:t>
            </w:r>
          </w:p>
        </w:tc>
        <w:tc>
          <w:tcPr>
            <w:tcW w:w="1417" w:type="dxa"/>
            <w:vAlign w:val="center"/>
          </w:tcPr>
          <w:p w14:paraId="602DE8C6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14:paraId="5C47DA9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417" w:type="dxa"/>
            <w:vAlign w:val="center"/>
          </w:tcPr>
          <w:p w14:paraId="4B995A2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B1614C" w:rsidRPr="00CF470C" w14:paraId="463EF114" w14:textId="77777777" w:rsidTr="00267A53">
        <w:tc>
          <w:tcPr>
            <w:tcW w:w="2411" w:type="dxa"/>
            <w:vAlign w:val="center"/>
          </w:tcPr>
          <w:p w14:paraId="45AEBB1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5B4D6BA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4426D16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383" w:type="dxa"/>
            <w:vAlign w:val="center"/>
          </w:tcPr>
          <w:p w14:paraId="203B8AE6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7 932,0</w:t>
            </w:r>
          </w:p>
        </w:tc>
        <w:tc>
          <w:tcPr>
            <w:tcW w:w="1276" w:type="dxa"/>
            <w:vAlign w:val="center"/>
          </w:tcPr>
          <w:p w14:paraId="274C5B6B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18 513,0</w:t>
            </w:r>
          </w:p>
        </w:tc>
        <w:tc>
          <w:tcPr>
            <w:tcW w:w="1417" w:type="dxa"/>
            <w:vAlign w:val="center"/>
          </w:tcPr>
          <w:p w14:paraId="375BE4C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1 219,0</w:t>
            </w:r>
          </w:p>
        </w:tc>
        <w:tc>
          <w:tcPr>
            <w:tcW w:w="1418" w:type="dxa"/>
            <w:vAlign w:val="center"/>
          </w:tcPr>
          <w:p w14:paraId="5B635B29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17" w:type="dxa"/>
            <w:vAlign w:val="center"/>
          </w:tcPr>
          <w:p w14:paraId="0DAD23B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B1614C" w:rsidRPr="00CF470C" w14:paraId="0A060269" w14:textId="77777777" w:rsidTr="00267A53">
        <w:tc>
          <w:tcPr>
            <w:tcW w:w="2411" w:type="dxa"/>
            <w:vAlign w:val="center"/>
          </w:tcPr>
          <w:p w14:paraId="77B3537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35952BA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36B9A86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B7D2F8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383" w:type="dxa"/>
            <w:vAlign w:val="center"/>
          </w:tcPr>
          <w:p w14:paraId="5C9476C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2 452,1</w:t>
            </w:r>
          </w:p>
        </w:tc>
        <w:tc>
          <w:tcPr>
            <w:tcW w:w="1276" w:type="dxa"/>
            <w:vAlign w:val="center"/>
          </w:tcPr>
          <w:p w14:paraId="469C8C8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17 944,3</w:t>
            </w:r>
          </w:p>
        </w:tc>
        <w:tc>
          <w:tcPr>
            <w:tcW w:w="1417" w:type="dxa"/>
            <w:vAlign w:val="center"/>
          </w:tcPr>
          <w:p w14:paraId="7EC6E1C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2 718,4</w:t>
            </w:r>
          </w:p>
        </w:tc>
        <w:tc>
          <w:tcPr>
            <w:tcW w:w="1418" w:type="dxa"/>
            <w:vAlign w:val="center"/>
          </w:tcPr>
          <w:p w14:paraId="2ED0F3A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7" w:type="dxa"/>
            <w:vAlign w:val="center"/>
          </w:tcPr>
          <w:p w14:paraId="2120FFE7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B1614C" w:rsidRPr="00CF470C" w14:paraId="46986382" w14:textId="77777777" w:rsidTr="00267A53">
        <w:tc>
          <w:tcPr>
            <w:tcW w:w="2411" w:type="dxa"/>
            <w:vAlign w:val="center"/>
          </w:tcPr>
          <w:p w14:paraId="2397202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77BA5AB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383" w:type="dxa"/>
            <w:vAlign w:val="center"/>
          </w:tcPr>
          <w:p w14:paraId="43377F7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14:paraId="4322CA3B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417" w:type="dxa"/>
            <w:vAlign w:val="center"/>
          </w:tcPr>
          <w:p w14:paraId="28B521E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7E1BCE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18058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14C" w:rsidRPr="00CF470C" w14:paraId="08521F57" w14:textId="77777777" w:rsidTr="00267A53">
        <w:tc>
          <w:tcPr>
            <w:tcW w:w="2411" w:type="dxa"/>
            <w:vAlign w:val="center"/>
          </w:tcPr>
          <w:p w14:paraId="5F2E41C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9F2B9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383" w:type="dxa"/>
            <w:vAlign w:val="center"/>
          </w:tcPr>
          <w:p w14:paraId="51572833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2 500,0</w:t>
            </w:r>
          </w:p>
        </w:tc>
        <w:tc>
          <w:tcPr>
            <w:tcW w:w="1276" w:type="dxa"/>
            <w:vAlign w:val="center"/>
          </w:tcPr>
          <w:p w14:paraId="17AE142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6 500,0</w:t>
            </w:r>
          </w:p>
        </w:tc>
        <w:tc>
          <w:tcPr>
            <w:tcW w:w="1417" w:type="dxa"/>
            <w:vAlign w:val="center"/>
          </w:tcPr>
          <w:p w14:paraId="0C47FE07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2 400,0</w:t>
            </w:r>
          </w:p>
        </w:tc>
        <w:tc>
          <w:tcPr>
            <w:tcW w:w="1418" w:type="dxa"/>
            <w:vAlign w:val="center"/>
          </w:tcPr>
          <w:p w14:paraId="40E90E9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1417" w:type="dxa"/>
            <w:vAlign w:val="center"/>
          </w:tcPr>
          <w:p w14:paraId="47E070BF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B1614C" w:rsidRPr="00CF470C" w14:paraId="47C32496" w14:textId="77777777" w:rsidTr="00267A53">
        <w:tc>
          <w:tcPr>
            <w:tcW w:w="2411" w:type="dxa"/>
            <w:vAlign w:val="center"/>
          </w:tcPr>
          <w:p w14:paraId="5188F8D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EBE23D9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1383" w:type="dxa"/>
            <w:vAlign w:val="center"/>
          </w:tcPr>
          <w:p w14:paraId="2F71FEF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14:paraId="434F405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192,0</w:t>
            </w:r>
          </w:p>
        </w:tc>
        <w:tc>
          <w:tcPr>
            <w:tcW w:w="1417" w:type="dxa"/>
            <w:vAlign w:val="center"/>
          </w:tcPr>
          <w:p w14:paraId="5264380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49,9</w:t>
            </w:r>
          </w:p>
        </w:tc>
        <w:tc>
          <w:tcPr>
            <w:tcW w:w="1418" w:type="dxa"/>
            <w:vAlign w:val="center"/>
          </w:tcPr>
          <w:p w14:paraId="69C71A85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17" w:type="dxa"/>
            <w:vAlign w:val="center"/>
          </w:tcPr>
          <w:p w14:paraId="16514B5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B1614C" w:rsidRPr="00CF470C" w14:paraId="67A56313" w14:textId="77777777" w:rsidTr="00267A53">
        <w:tc>
          <w:tcPr>
            <w:tcW w:w="2411" w:type="dxa"/>
            <w:vAlign w:val="center"/>
          </w:tcPr>
          <w:p w14:paraId="245F773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7D6E5CD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383" w:type="dxa"/>
            <w:vAlign w:val="center"/>
          </w:tcPr>
          <w:p w14:paraId="0DEB88DC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14:paraId="1FEE059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80,0</w:t>
            </w:r>
          </w:p>
        </w:tc>
        <w:tc>
          <w:tcPr>
            <w:tcW w:w="1417" w:type="dxa"/>
            <w:vAlign w:val="center"/>
          </w:tcPr>
          <w:p w14:paraId="095A1987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6091FA1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vAlign w:val="center"/>
          </w:tcPr>
          <w:p w14:paraId="5B33A748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614C" w:rsidRPr="00CF470C" w14:paraId="5AEB68E4" w14:textId="77777777" w:rsidTr="00267A53">
        <w:tc>
          <w:tcPr>
            <w:tcW w:w="2411" w:type="dxa"/>
            <w:vAlign w:val="center"/>
          </w:tcPr>
          <w:p w14:paraId="4ED6BBA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Всего:</w:t>
            </w:r>
          </w:p>
          <w:p w14:paraId="1EE9B0C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62FF4E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78D3DCC5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13 012,1</w:t>
            </w:r>
          </w:p>
        </w:tc>
        <w:tc>
          <w:tcPr>
            <w:tcW w:w="1276" w:type="dxa"/>
            <w:vAlign w:val="center"/>
          </w:tcPr>
          <w:p w14:paraId="72C9660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43 389,5</w:t>
            </w:r>
          </w:p>
        </w:tc>
        <w:tc>
          <w:tcPr>
            <w:tcW w:w="1417" w:type="dxa"/>
            <w:vAlign w:val="center"/>
          </w:tcPr>
          <w:p w14:paraId="335B18B2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6 440,2</w:t>
            </w:r>
          </w:p>
        </w:tc>
        <w:tc>
          <w:tcPr>
            <w:tcW w:w="1418" w:type="dxa"/>
            <w:vAlign w:val="center"/>
          </w:tcPr>
          <w:p w14:paraId="48CF208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b/>
                <w:lang w:eastAsia="ru-RU"/>
              </w:rPr>
              <w:t>14,8</w:t>
            </w:r>
          </w:p>
        </w:tc>
        <w:tc>
          <w:tcPr>
            <w:tcW w:w="1417" w:type="dxa"/>
            <w:vAlign w:val="center"/>
          </w:tcPr>
          <w:p w14:paraId="4D1FE04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b/>
                <w:lang w:eastAsia="ru-RU"/>
              </w:rPr>
              <w:t>49,5</w:t>
            </w:r>
          </w:p>
        </w:tc>
      </w:tr>
    </w:tbl>
    <w:p w14:paraId="1423EB0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0FBB96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140503D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1 квартал  2022 года  исполнены в сумме 33,0 тыс. рублей, или 22,7% к утвержденной бюджетной росписи. Доля расходов по разделу в общей структуре расходов бюджета составила 0,5 процентов. </w:t>
      </w:r>
    </w:p>
    <w:p w14:paraId="1F71B51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1219,0 тыс. рублей, или 6,6% к утвержденной бюджетной росписи. Доля расходов по разделу в общей структуре расходов бюджета составила 18,9 процентов. </w:t>
      </w:r>
    </w:p>
    <w:p w14:paraId="683BEBBF" w14:textId="375E8E1B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 подразделу 04 09 «Дорожное хозяйство» кассовое исполнение расходов составило 1219,0 тыс. рублей. Структура раздела представлена одним подразделом</w:t>
      </w:r>
    </w:p>
    <w:p w14:paraId="5DCFDC6C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2718,4 тыс. рублей, или 15,1% к утвержденной бюджетной росписи. Доля расходов по разделу в общей структуре расходов бюджета составила 42,2 процентов. По подразделу 05 01 «Жилищное хозяйство» кассовое исполнение расходов составило 17,8 тыс. рублей, или 0,6% раздела.</w:t>
      </w:r>
    </w:p>
    <w:p w14:paraId="0A47F381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По подразделу 05 02 «Коммунальное хозяйство» кассовое исполнение расходов составило 385,3 тыс. рублей, или 14,2% раздела</w:t>
      </w:r>
    </w:p>
    <w:p w14:paraId="05554E4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По разделу 05 03 «Благоустройство» расходы составили 2315,2 тыс. рублей, или 85,2% раздела.</w:t>
      </w:r>
    </w:p>
    <w:p w14:paraId="34A95017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осуществлялись, тогда как плановые назначения составили 15,0 тыс. рублей </w:t>
      </w:r>
    </w:p>
    <w:p w14:paraId="5E7248B6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2 400,00 тыс. рублей, или 36,9% к утвержденной бюджетной росписи. Доля расходов по разделу в общей структуре расходов бюджета составила 36,9 процентов. В общем объеме бюджета доля расходов по разделу составила 37,3 процента. </w:t>
      </w:r>
    </w:p>
    <w:p w14:paraId="615C5D75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08 01 «Культура».</w:t>
      </w:r>
    </w:p>
    <w:p w14:paraId="2F7A4E9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49,9 тыс. рублей, или 26% к утвержденной бюджетной росписи. Доля расходов по разделу в общей структуре расходов бюджета составила 0,8 процентов. </w:t>
      </w:r>
    </w:p>
    <w:p w14:paraId="0224A3DD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1001 «Пенсионное обеспечение».</w:t>
      </w:r>
    </w:p>
    <w:p w14:paraId="52AEF59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20,0 тыс. рублей, или 25% к утвержденной бюджетной росписи. Доля расходов по разделу в общей структуре расходов бюджета составила 0,3 процентов. </w:t>
      </w:r>
    </w:p>
    <w:p w14:paraId="1D1013A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1102 «Массовый спорт».</w:t>
      </w:r>
    </w:p>
    <w:p w14:paraId="15C71905" w14:textId="708C29A4" w:rsidR="00B42BE0" w:rsidRPr="00CF470C" w:rsidRDefault="00CF470C" w:rsidP="00CF47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</w:t>
      </w:r>
      <w:r w:rsidR="00B42BE0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Реализация муниципальной программы</w:t>
      </w:r>
    </w:p>
    <w:p w14:paraId="12179795" w14:textId="77777777" w:rsidR="00B42BE0" w:rsidRPr="00B42BE0" w:rsidRDefault="00B42BE0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E1EDC89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42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r w:rsidRPr="00B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» на 2022 год и на плановый период 2023 и 2024 годов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«15» декабря 2021 года № 673 с  объемом финансирования на 2022 год в сумме  39 796,9 тыс. рублей, в том числе 24 792,9 тыс. рублей - средства местного бюджета, 15 004,0 тыс. рублей - средства областного бюджета. В течение отчетного периода изменения  в постановление  не вносились.</w:t>
      </w:r>
    </w:p>
    <w:p w14:paraId="70FF5074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За 1 квартал 2022 года расходы бюджета по муниципальной программе  исполнены в сумме 6440,3 тыс. рублей, что составляет 16,2 % утвержденных плановых  назначений.</w:t>
      </w:r>
    </w:p>
    <w:p w14:paraId="0DBE666F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C6C6034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современной городской среды на 2018-2024 год</w:t>
      </w: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B42BE0">
        <w:rPr>
          <w:rFonts w:eastAsiaTheme="minorEastAsia"/>
          <w:sz w:val="28"/>
          <w:szCs w:val="28"/>
          <w:lang w:eastAsia="ru-RU"/>
        </w:rPr>
        <w:t xml:space="preserve">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с  объемом финансирования на 2022 год в сумме  3 532,6 тыс. рублей, в том числе 35,3 тыс. рублей - средства местного бюджета, 3497,3 тыс. рублей - средства областного бюджета. В течение отчетного периода изменения  в постановление  не вносились.</w:t>
      </w:r>
    </w:p>
    <w:p w14:paraId="365C6714" w14:textId="79948D46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1 квартал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2022 года расходы бюджета по муниципальной программе   не производились.</w:t>
      </w:r>
    </w:p>
    <w:p w14:paraId="0AF0E25A" w14:textId="2D455F83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Непрограммная деятельность представлена резервным фондом в сумме 60,0 тыс. руб.  Расходы 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непрограммной деятельности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в  отчетном периоде не производились.</w:t>
      </w:r>
    </w:p>
    <w:p w14:paraId="217E3C24" w14:textId="2E547836" w:rsidR="007F0C8D" w:rsidRPr="00CF470C" w:rsidRDefault="00CF470C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0C8D" w:rsidRPr="00CF470C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2D5E7EE" w14:textId="77777777" w:rsidR="007F0C8D" w:rsidRPr="00CF470C" w:rsidRDefault="007F0C8D" w:rsidP="00CF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A84519" w14:textId="77777777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16FBD67" w14:textId="18589B7E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Hlk102726715"/>
      <w:r w:rsidRPr="00CF470C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</w:t>
      </w:r>
      <w:r w:rsidR="008336E4" w:rsidRPr="00CF470C">
        <w:rPr>
          <w:rFonts w:ascii="Times New Roman" w:hAnsi="Times New Roman"/>
          <w:sz w:val="28"/>
          <w:szCs w:val="28"/>
        </w:rPr>
        <w:t>расходам утвержден</w:t>
      </w:r>
      <w:r w:rsidRPr="00CF470C">
        <w:rPr>
          <w:rFonts w:ascii="Times New Roman" w:hAnsi="Times New Roman"/>
          <w:sz w:val="28"/>
          <w:szCs w:val="28"/>
        </w:rPr>
        <w:t xml:space="preserve"> сбалансированным, </w:t>
      </w:r>
      <w:r w:rsidR="008336E4" w:rsidRPr="00CF470C">
        <w:rPr>
          <w:rFonts w:ascii="Times New Roman" w:hAnsi="Times New Roman"/>
          <w:sz w:val="28"/>
          <w:szCs w:val="28"/>
        </w:rPr>
        <w:t>В отчетном</w:t>
      </w:r>
      <w:r w:rsidRPr="00CF470C">
        <w:rPr>
          <w:rFonts w:ascii="Times New Roman" w:hAnsi="Times New Roman"/>
          <w:sz w:val="28"/>
          <w:szCs w:val="28"/>
        </w:rPr>
        <w:t xml:space="preserve"> периоде остатки на 01.01.2022 года не вносились. </w:t>
      </w:r>
    </w:p>
    <w:p w14:paraId="26C1F2DC" w14:textId="77777777" w:rsidR="00B42BE0" w:rsidRPr="00CF470C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CF470C">
        <w:rPr>
          <w:rFonts w:ascii="Times New Roman" w:hAnsi="Times New Roman"/>
          <w:sz w:val="28"/>
          <w:szCs w:val="28"/>
        </w:rPr>
        <w:tab/>
      </w:r>
      <w:r w:rsidRPr="00CF470C">
        <w:rPr>
          <w:rFonts w:ascii="Times New Roman" w:hAnsi="Times New Roman"/>
          <w:sz w:val="28"/>
          <w:szCs w:val="28"/>
        </w:rPr>
        <w:tab/>
      </w:r>
    </w:p>
    <w:bookmarkEnd w:id="0"/>
    <w:p w14:paraId="1C5DD281" w14:textId="129CF001" w:rsidR="00FD2463" w:rsidRPr="00CF470C" w:rsidRDefault="005A0FD8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6615C87" w14:textId="11C66135" w:rsidR="00F43099" w:rsidRPr="00CF470C" w:rsidRDefault="00F43099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70C">
        <w:rPr>
          <w:rFonts w:ascii="Times New Roman" w:hAnsi="Times New Roman" w:cs="Times New Roman"/>
          <w:sz w:val="28"/>
          <w:szCs w:val="28"/>
        </w:rPr>
        <w:t>По итогам 1 квартала 202</w:t>
      </w:r>
      <w:r w:rsidR="00B42BE0" w:rsidRPr="00CF470C">
        <w:rPr>
          <w:rFonts w:ascii="Times New Roman" w:hAnsi="Times New Roman" w:cs="Times New Roman"/>
          <w:sz w:val="28"/>
          <w:szCs w:val="28"/>
        </w:rPr>
        <w:t>2</w:t>
      </w:r>
      <w:r w:rsidRPr="00CF470C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B42BE0" w:rsidRPr="00CF470C">
        <w:rPr>
          <w:rFonts w:ascii="Times New Roman" w:hAnsi="Times New Roman" w:cs="Times New Roman"/>
          <w:sz w:val="28"/>
          <w:szCs w:val="28"/>
        </w:rPr>
        <w:t>5034,4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2BE0" w:rsidRPr="00CF470C">
        <w:rPr>
          <w:rFonts w:ascii="Times New Roman" w:hAnsi="Times New Roman" w:cs="Times New Roman"/>
          <w:sz w:val="28"/>
          <w:szCs w:val="28"/>
        </w:rPr>
        <w:t>12,0</w:t>
      </w:r>
      <w:r w:rsidRPr="00CF470C">
        <w:rPr>
          <w:rFonts w:ascii="Times New Roman" w:hAnsi="Times New Roman" w:cs="Times New Roman"/>
          <w:sz w:val="28"/>
          <w:szCs w:val="28"/>
        </w:rPr>
        <w:t xml:space="preserve"> % к утвержденным показателям, по расходам – </w:t>
      </w:r>
      <w:r w:rsidR="00B42BE0" w:rsidRPr="00CF470C">
        <w:rPr>
          <w:rFonts w:ascii="Times New Roman" w:hAnsi="Times New Roman" w:cs="Times New Roman"/>
          <w:sz w:val="28"/>
          <w:szCs w:val="28"/>
        </w:rPr>
        <w:t>6440,2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B42BE0" w:rsidRPr="00CF470C">
        <w:rPr>
          <w:rFonts w:ascii="Times New Roman" w:hAnsi="Times New Roman" w:cs="Times New Roman"/>
          <w:sz w:val="28"/>
          <w:szCs w:val="28"/>
        </w:rPr>
        <w:t>14</w:t>
      </w:r>
      <w:r w:rsidR="00C12E15" w:rsidRPr="00CF470C">
        <w:rPr>
          <w:rFonts w:ascii="Times New Roman" w:hAnsi="Times New Roman" w:cs="Times New Roman"/>
          <w:sz w:val="28"/>
          <w:szCs w:val="28"/>
        </w:rPr>
        <w:t>,8</w:t>
      </w:r>
      <w:r w:rsidRPr="00CF470C"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сводной бюджетной росписи, с дефицитом в сумме </w:t>
      </w:r>
      <w:r w:rsidR="00B42BE0" w:rsidRPr="00CF470C">
        <w:rPr>
          <w:rFonts w:ascii="Times New Roman" w:hAnsi="Times New Roman" w:cs="Times New Roman"/>
          <w:sz w:val="28"/>
          <w:szCs w:val="28"/>
        </w:rPr>
        <w:t>1405,8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2793B0" w14:textId="77777777" w:rsidR="00263EDF" w:rsidRPr="00CF470C" w:rsidRDefault="00263EDF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9AF50" w14:textId="4E64D1D1" w:rsidR="00263EDF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596796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596796">
        <w:rPr>
          <w:rFonts w:ascii="Times New Roman" w:hAnsi="Times New Roman" w:cs="Times New Roman"/>
          <w:sz w:val="28"/>
          <w:szCs w:val="28"/>
        </w:rPr>
        <w:t>1 квартал</w:t>
      </w:r>
      <w:r w:rsidRPr="00596796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B42BE0" w:rsidRPr="00596796">
        <w:rPr>
          <w:rFonts w:ascii="Times New Roman" w:hAnsi="Times New Roman" w:cs="Times New Roman"/>
          <w:sz w:val="28"/>
          <w:szCs w:val="28"/>
        </w:rPr>
        <w:t>2</w:t>
      </w:r>
      <w:r w:rsidRPr="00596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Pr="0059679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596796">
        <w:rPr>
          <w:rFonts w:ascii="Times New Roman" w:hAnsi="Times New Roman" w:cs="Times New Roman"/>
          <w:sz w:val="28"/>
          <w:szCs w:val="28"/>
        </w:rPr>
        <w:t>.</w:t>
      </w:r>
    </w:p>
    <w:p w14:paraId="40A76AF3" w14:textId="5C736E91" w:rsidR="0096657E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B42BE0" w:rsidRPr="00596796">
        <w:rPr>
          <w:rFonts w:ascii="Times New Roman" w:hAnsi="Times New Roman" w:cs="Times New Roman"/>
          <w:sz w:val="28"/>
          <w:szCs w:val="28"/>
        </w:rPr>
        <w:t>2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596796">
        <w:rPr>
          <w:rFonts w:ascii="Times New Roman" w:hAnsi="Times New Roman" w:cs="Times New Roman"/>
          <w:sz w:val="28"/>
          <w:szCs w:val="28"/>
        </w:rPr>
        <w:t>.</w:t>
      </w:r>
    </w:p>
    <w:p w14:paraId="71BED2C7" w14:textId="77777777" w:rsidR="00FB22F1" w:rsidRPr="00CF470C" w:rsidRDefault="00FB22F1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Pr="00CF470C" w:rsidRDefault="00B6461D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FB8CAD1" w14:textId="77777777" w:rsidR="006D41EE" w:rsidRDefault="00B42BE0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6D41E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0FE3B572" w14:textId="701F9424" w:rsidR="00C12E15" w:rsidRPr="008336E4" w:rsidRDefault="006D41EE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336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BE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42BE0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E15" w:rsidRPr="008336E4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8C13" w14:textId="77777777" w:rsidR="008100C2" w:rsidRDefault="008100C2" w:rsidP="00FB1971">
      <w:pPr>
        <w:spacing w:after="0" w:line="240" w:lineRule="auto"/>
      </w:pPr>
      <w:r>
        <w:separator/>
      </w:r>
    </w:p>
  </w:endnote>
  <w:endnote w:type="continuationSeparator" w:id="0">
    <w:p w14:paraId="2217FEA5" w14:textId="77777777" w:rsidR="008100C2" w:rsidRDefault="008100C2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38ED" w14:textId="77777777" w:rsidR="008100C2" w:rsidRDefault="008100C2" w:rsidP="00FB1971">
      <w:pPr>
        <w:spacing w:after="0" w:line="240" w:lineRule="auto"/>
      </w:pPr>
      <w:r>
        <w:separator/>
      </w:r>
    </w:p>
  </w:footnote>
  <w:footnote w:type="continuationSeparator" w:id="0">
    <w:p w14:paraId="60C39976" w14:textId="77777777" w:rsidR="008100C2" w:rsidRDefault="008100C2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DA57DB" w:rsidRDefault="00DA57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C4330" w14:textId="77777777" w:rsidR="00DA57DB" w:rsidRDefault="00DA57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970A0"/>
    <w:multiLevelType w:val="hybridMultilevel"/>
    <w:tmpl w:val="20DAC4F0"/>
    <w:lvl w:ilvl="0" w:tplc="96E8B75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B359E2"/>
    <w:multiLevelType w:val="hybridMultilevel"/>
    <w:tmpl w:val="CEA2D7A4"/>
    <w:lvl w:ilvl="0" w:tplc="9C5AA3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A41AEA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561D"/>
    <w:rsid w:val="001361A3"/>
    <w:rsid w:val="001438A8"/>
    <w:rsid w:val="00164E1E"/>
    <w:rsid w:val="001669C3"/>
    <w:rsid w:val="00171EE8"/>
    <w:rsid w:val="0017350C"/>
    <w:rsid w:val="00190177"/>
    <w:rsid w:val="00192FBC"/>
    <w:rsid w:val="001A07B0"/>
    <w:rsid w:val="001A3A34"/>
    <w:rsid w:val="001A3EAC"/>
    <w:rsid w:val="001A3EDA"/>
    <w:rsid w:val="001A3F7F"/>
    <w:rsid w:val="001C4C85"/>
    <w:rsid w:val="001D5A5E"/>
    <w:rsid w:val="001D7B7E"/>
    <w:rsid w:val="00200DD0"/>
    <w:rsid w:val="0020668D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67A53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7D03"/>
    <w:rsid w:val="003B1637"/>
    <w:rsid w:val="003B1B3A"/>
    <w:rsid w:val="003B1B64"/>
    <w:rsid w:val="003B48C1"/>
    <w:rsid w:val="003B69D8"/>
    <w:rsid w:val="003C085F"/>
    <w:rsid w:val="003C0F6A"/>
    <w:rsid w:val="003D315A"/>
    <w:rsid w:val="003D3205"/>
    <w:rsid w:val="00407089"/>
    <w:rsid w:val="00407E77"/>
    <w:rsid w:val="00411D97"/>
    <w:rsid w:val="00413139"/>
    <w:rsid w:val="00420E2D"/>
    <w:rsid w:val="00434690"/>
    <w:rsid w:val="00446148"/>
    <w:rsid w:val="0045755E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6796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4DA"/>
    <w:rsid w:val="006579BB"/>
    <w:rsid w:val="00657C49"/>
    <w:rsid w:val="00657F14"/>
    <w:rsid w:val="00673AB4"/>
    <w:rsid w:val="006756B7"/>
    <w:rsid w:val="006762A9"/>
    <w:rsid w:val="006804F1"/>
    <w:rsid w:val="006914ED"/>
    <w:rsid w:val="00693AF6"/>
    <w:rsid w:val="006C03AD"/>
    <w:rsid w:val="006D41EE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534A"/>
    <w:rsid w:val="0074760D"/>
    <w:rsid w:val="00751EA5"/>
    <w:rsid w:val="0075244A"/>
    <w:rsid w:val="0075611C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00C2"/>
    <w:rsid w:val="00811C9F"/>
    <w:rsid w:val="00812E69"/>
    <w:rsid w:val="00824C3E"/>
    <w:rsid w:val="00827229"/>
    <w:rsid w:val="008336E4"/>
    <w:rsid w:val="00850D9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14C"/>
    <w:rsid w:val="00B16728"/>
    <w:rsid w:val="00B2357D"/>
    <w:rsid w:val="00B237AE"/>
    <w:rsid w:val="00B27A23"/>
    <w:rsid w:val="00B3007D"/>
    <w:rsid w:val="00B377BA"/>
    <w:rsid w:val="00B413EC"/>
    <w:rsid w:val="00B421D6"/>
    <w:rsid w:val="00B42BE0"/>
    <w:rsid w:val="00B50130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70EB"/>
    <w:rsid w:val="00C3017B"/>
    <w:rsid w:val="00C30C1D"/>
    <w:rsid w:val="00C3699A"/>
    <w:rsid w:val="00C61EE1"/>
    <w:rsid w:val="00C63C45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470C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A57DB"/>
    <w:rsid w:val="00DB042D"/>
    <w:rsid w:val="00DC43CB"/>
    <w:rsid w:val="00DE1EE4"/>
    <w:rsid w:val="00DE495F"/>
    <w:rsid w:val="00DE75CE"/>
    <w:rsid w:val="00E124E4"/>
    <w:rsid w:val="00E14A79"/>
    <w:rsid w:val="00E15AB9"/>
    <w:rsid w:val="00E16839"/>
    <w:rsid w:val="00E20D1E"/>
    <w:rsid w:val="00E2150A"/>
    <w:rsid w:val="00E3141B"/>
    <w:rsid w:val="00E34E66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  <w15:docId w15:val="{BAD55299-56C0-415E-9880-741B463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294-FFF4-4D7B-B14D-9D830F5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412</cp:revision>
  <cp:lastPrinted>2019-05-23T08:46:00Z</cp:lastPrinted>
  <dcterms:created xsi:type="dcterms:W3CDTF">2019-04-29T10:34:00Z</dcterms:created>
  <dcterms:modified xsi:type="dcterms:W3CDTF">2022-05-23T11:49:00Z</dcterms:modified>
</cp:coreProperties>
</file>