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AA19" w14:textId="77777777"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и.о председателя </w:t>
      </w:r>
    </w:p>
    <w:p w14:paraId="209A233E" w14:textId="77777777" w:rsidR="00EE55D1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Контрольно-счётной палаты Дубровского района </w:t>
      </w:r>
    </w:p>
    <w:p w14:paraId="70FB4CC0" w14:textId="77777777" w:rsidR="00EE55D1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Дороденковой Н.А.  </w:t>
      </w:r>
      <w:r w:rsidR="007F0ED2">
        <w:rPr>
          <w:rFonts w:ascii="Times New Roman" w:hAnsi="Times New Roman"/>
          <w:b/>
          <w:sz w:val="28"/>
          <w:szCs w:val="28"/>
        </w:rPr>
        <w:t xml:space="preserve">на заседании Дубровского районного Совета народных депутатов </w:t>
      </w:r>
      <w:r w:rsidR="000F13B3">
        <w:rPr>
          <w:rFonts w:ascii="Times New Roman" w:hAnsi="Times New Roman"/>
          <w:b/>
          <w:sz w:val="28"/>
          <w:szCs w:val="28"/>
        </w:rPr>
        <w:t>16</w:t>
      </w:r>
      <w:r w:rsidR="007F0ED2" w:rsidRPr="000F13B3">
        <w:rPr>
          <w:rFonts w:ascii="Times New Roman" w:hAnsi="Times New Roman"/>
          <w:b/>
          <w:sz w:val="28"/>
          <w:szCs w:val="28"/>
        </w:rPr>
        <w:t>.03.2021</w:t>
      </w:r>
      <w:r w:rsidR="007F0ED2">
        <w:rPr>
          <w:rFonts w:ascii="Times New Roman" w:hAnsi="Times New Roman"/>
          <w:b/>
          <w:sz w:val="28"/>
          <w:szCs w:val="28"/>
        </w:rPr>
        <w:t xml:space="preserve"> года </w:t>
      </w:r>
    </w:p>
    <w:p w14:paraId="64E0EBE4" w14:textId="38F38327" w:rsidR="00CB5FE4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вопросу: </w:t>
      </w:r>
    </w:p>
    <w:p w14:paraId="23C672A8" w14:textId="77777777"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«Отчет о работе Контрольно-счётной палаты </w:t>
      </w:r>
    </w:p>
    <w:p w14:paraId="0F294EEE" w14:textId="77777777"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Дубровского района в 20</w:t>
      </w:r>
      <w:r w:rsidR="007F0ED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году»</w:t>
      </w:r>
    </w:p>
    <w:p w14:paraId="3EC5C745" w14:textId="77777777" w:rsidR="007F0ED2" w:rsidRDefault="007F0ED2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7A6E7E" w14:textId="1487A7A7" w:rsidR="007F0ED2" w:rsidRPr="007F0ED2" w:rsidRDefault="007F0ED2" w:rsidP="007F0E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ED2">
        <w:rPr>
          <w:rFonts w:ascii="Times New Roman" w:hAnsi="Times New Roman"/>
          <w:sz w:val="28"/>
          <w:szCs w:val="28"/>
        </w:rPr>
        <w:t xml:space="preserve">п. Дубровка                                                            </w:t>
      </w:r>
      <w:r w:rsidRPr="007F0ED2">
        <w:rPr>
          <w:rFonts w:ascii="Times New Roman" w:hAnsi="Times New Roman"/>
          <w:sz w:val="28"/>
          <w:szCs w:val="28"/>
        </w:rPr>
        <w:tab/>
      </w:r>
      <w:r w:rsidRPr="007F0ED2">
        <w:rPr>
          <w:rFonts w:ascii="Times New Roman" w:hAnsi="Times New Roman"/>
          <w:sz w:val="28"/>
          <w:szCs w:val="28"/>
        </w:rPr>
        <w:tab/>
      </w:r>
      <w:r w:rsidRPr="007F0ED2">
        <w:rPr>
          <w:rFonts w:ascii="Times New Roman" w:hAnsi="Times New Roman"/>
          <w:sz w:val="28"/>
          <w:szCs w:val="28"/>
        </w:rPr>
        <w:tab/>
      </w:r>
      <w:r w:rsidR="00EE55D1">
        <w:rPr>
          <w:rFonts w:ascii="Times New Roman" w:hAnsi="Times New Roman"/>
          <w:sz w:val="28"/>
          <w:szCs w:val="28"/>
        </w:rPr>
        <w:t>16</w:t>
      </w:r>
      <w:r w:rsidRPr="00EE55D1">
        <w:rPr>
          <w:rFonts w:ascii="Times New Roman" w:hAnsi="Times New Roman"/>
          <w:sz w:val="28"/>
          <w:szCs w:val="28"/>
        </w:rPr>
        <w:t>.03.</w:t>
      </w:r>
      <w:r w:rsidRPr="007F0ED2">
        <w:rPr>
          <w:rFonts w:ascii="Times New Roman" w:hAnsi="Times New Roman"/>
          <w:sz w:val="28"/>
          <w:szCs w:val="28"/>
        </w:rPr>
        <w:t>2021</w:t>
      </w:r>
    </w:p>
    <w:p w14:paraId="27EDBC1B" w14:textId="77777777" w:rsidR="00EA0D16" w:rsidRDefault="00EA0D16" w:rsidP="00EA0D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61399" w14:textId="77777777" w:rsidR="00FF380C" w:rsidRDefault="007F0ED2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Контрольно-счётная палата образована Дубровским районным Советом народных депутатов и ей подотчетна. Ежегодно 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>Контрольно-счётная  палата представляет в Дубровский районный Совет народных депутатов отче</w:t>
      </w:r>
      <w:r w:rsidR="009801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1427D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F391E">
        <w:rPr>
          <w:rFonts w:ascii="Times New Roman" w:eastAsia="Times New Roman" w:hAnsi="Times New Roman"/>
          <w:sz w:val="28"/>
          <w:szCs w:val="28"/>
          <w:lang w:eastAsia="ru-RU"/>
        </w:rPr>
        <w:t>аботе.</w:t>
      </w:r>
    </w:p>
    <w:p w14:paraId="0F3AD2D7" w14:textId="77777777" w:rsidR="005F391E" w:rsidRDefault="005F391E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отчета определены Стандартом организации деятельности Контрольно-счётной палаты.</w:t>
      </w:r>
    </w:p>
    <w:p w14:paraId="5EB7380D" w14:textId="77777777" w:rsidR="005F391E" w:rsidRDefault="005F391E" w:rsidP="002420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Планом работы Контрольно-счётной палаты</w:t>
      </w:r>
      <w:r w:rsidR="0046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 предусмотрено </w:t>
      </w:r>
      <w:r w:rsidR="00402922">
        <w:rPr>
          <w:rFonts w:ascii="Times New Roman" w:eastAsia="Times New Roman" w:hAnsi="Times New Roman"/>
          <w:sz w:val="28"/>
          <w:szCs w:val="28"/>
          <w:lang w:eastAsia="ru-RU"/>
        </w:rPr>
        <w:t xml:space="preserve">15 контрольных и экспертно-аналитических мероприятий, из которых 1 тематическое экспертно-аналитическое мероприятие, связанное с мониторингом </w:t>
      </w:r>
      <w:r w:rsidR="0090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92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90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92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0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922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году на территории Дубровского района </w:t>
      </w:r>
    </w:p>
    <w:p w14:paraId="35EE4289" w14:textId="77777777" w:rsidR="002420C6" w:rsidRPr="002420C6" w:rsidRDefault="002420C6" w:rsidP="002420C6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2420C6">
        <w:rPr>
          <w:rFonts w:ascii="Times New Roman" w:hAnsi="Times New Roman"/>
          <w:sz w:val="28"/>
          <w:szCs w:val="28"/>
        </w:rPr>
        <w:t>муниципальных проектов по созданию новых мест в образовательных организациях различных типов для реализации дополнительных общеразвивающих программ всех направлений в рамках регионального проекта «Успех каждого ребенка» государственной программы «Развитие образования и науки Брянской области», национального проекта «Образование», з</w:t>
      </w:r>
      <w:r w:rsidRPr="002420C6">
        <w:rPr>
          <w:rFonts w:ascii="Times New Roman" w:hAnsi="Times New Roman"/>
          <w:snapToGrid w:val="0"/>
          <w:sz w:val="28"/>
          <w:szCs w:val="28"/>
        </w:rPr>
        <w:t>а 1 полугодие 2020 года.</w:t>
      </w:r>
    </w:p>
    <w:p w14:paraId="107B4642" w14:textId="77777777" w:rsidR="00D20BCE" w:rsidRDefault="00B47F8B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палатой Дубровского района проведено </w:t>
      </w:r>
      <w:r w:rsidR="00A03B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0C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4430633" w14:textId="6662A864" w:rsidR="005B7336" w:rsidRPr="005B7336" w:rsidRDefault="004A6387" w:rsidP="005B7336">
      <w:pPr>
        <w:pStyle w:val="a3"/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17D" w:rsidRPr="005B73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518D9" w:rsidRPr="005B73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</w:t>
      </w:r>
      <w:r w:rsidR="00B47F8B" w:rsidRPr="005B733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общий объем проверенных средств составил </w:t>
      </w:r>
      <w:r w:rsidR="0048017D" w:rsidRPr="005B7336">
        <w:rPr>
          <w:rFonts w:ascii="Times New Roman" w:eastAsia="Times New Roman" w:hAnsi="Times New Roman"/>
          <w:sz w:val="28"/>
          <w:szCs w:val="28"/>
          <w:lang w:eastAsia="ru-RU"/>
        </w:rPr>
        <w:t>18548,0 тыс. рублей</w:t>
      </w:r>
      <w:r w:rsidR="00FA36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336" w:rsidRPr="005B733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FA36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="005B7336" w:rsidRPr="005B733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 предложению Главы муниципального образования  проведено 2 контрольных мероприятия. </w:t>
      </w:r>
    </w:p>
    <w:p w14:paraId="7A51C384" w14:textId="77777777" w:rsidR="00D20BCE" w:rsidRDefault="00A03B44" w:rsidP="005E538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2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48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18D9" w:rsidRPr="00C462E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экспертно-аналитических</w:t>
      </w:r>
      <w:r w:rsidR="00CF48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C518D9" w:rsidRPr="00C462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5383" w:rsidRPr="005B733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проверенных средств составил </w:t>
      </w:r>
      <w:r w:rsidR="00144CC0">
        <w:rPr>
          <w:rFonts w:ascii="Times New Roman" w:eastAsia="Times New Roman" w:hAnsi="Times New Roman"/>
          <w:sz w:val="28"/>
          <w:szCs w:val="28"/>
          <w:lang w:eastAsia="ru-RU"/>
        </w:rPr>
        <w:t>822,7</w:t>
      </w:r>
      <w:r w:rsidR="005E5383" w:rsidRPr="005B733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F4834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D20BCE" w:rsidRPr="00C462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75618F8" w14:textId="5DC4033E" w:rsidR="00CF4834" w:rsidRDefault="00CF4834" w:rsidP="00CF48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 внешних проверок годовых отчетов об исполнении районного бюджета и бюджетов городского и </w:t>
      </w:r>
      <w:r w:rsidR="0043150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за 2019 год;</w:t>
      </w:r>
    </w:p>
    <w:p w14:paraId="7D08B7F5" w14:textId="77777777" w:rsidR="00E723C2" w:rsidRDefault="00CF4834" w:rsidP="00CF48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3C2">
        <w:rPr>
          <w:rFonts w:ascii="Times New Roman" w:eastAsia="Times New Roman" w:hAnsi="Times New Roman"/>
          <w:sz w:val="28"/>
          <w:szCs w:val="28"/>
          <w:lang w:eastAsia="ru-RU"/>
        </w:rPr>
        <w:t xml:space="preserve">6 экспертиз отчетов об исполнении районного бюджета, городского и </w:t>
      </w:r>
      <w:r w:rsidR="0043150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E723C2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за 1 квартал, 1 полугодие и 9 месяцев 2020 года;</w:t>
      </w:r>
    </w:p>
    <w:p w14:paraId="52863859" w14:textId="3E292E08" w:rsidR="00CF4834" w:rsidRDefault="00E723C2" w:rsidP="00CF48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 экспертизы проектов решений о районном бюджете, городском и </w:t>
      </w:r>
      <w:r w:rsidR="000815FA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</w:t>
      </w:r>
      <w:r w:rsidR="00CC59B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ECAC19" w14:textId="09A50A1A" w:rsidR="00CC59BD" w:rsidRDefault="00CC59BD" w:rsidP="00CC59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тематическое мероприятие.</w:t>
      </w:r>
    </w:p>
    <w:p w14:paraId="33CBC90C" w14:textId="77777777" w:rsidR="00CC59BD" w:rsidRDefault="00CC59BD" w:rsidP="00CF48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2CA266" w14:textId="77777777" w:rsidR="00E723C2" w:rsidRDefault="00E723C2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Контрольно-счётной палатой проведены экспертизы 3 проектов решений районного бюджета </w:t>
      </w:r>
      <w:r w:rsidR="0098018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бюджет 2020 года.</w:t>
      </w:r>
    </w:p>
    <w:p w14:paraId="055EE465" w14:textId="77777777" w:rsidR="0098018C" w:rsidRDefault="0098018C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о выявленных нарушениях отражена в отчете о работе Контрольно-счётной палаты Дубровского района в 2020 году по структуре Классификатора нарушений, выявляемых в ходе контроля, одобренного Советом контрольно-счётных органов при Счетной палате Российской Федерации и применяемого на всей территории Российской Федерации.</w:t>
      </w:r>
    </w:p>
    <w:p w14:paraId="246CB928" w14:textId="3866AFD3" w:rsidR="00D31275" w:rsidRDefault="009775C2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проведенных  контрольных и  экспертно-аналитических мероприятий установлено </w:t>
      </w:r>
      <w:r w:rsidR="00C717A2">
        <w:rPr>
          <w:rFonts w:ascii="Times New Roman" w:eastAsia="Times New Roman" w:hAnsi="Times New Roman"/>
          <w:sz w:val="28"/>
          <w:szCs w:val="28"/>
          <w:lang w:eastAsia="ru-RU"/>
        </w:rPr>
        <w:t>44 нарушения</w:t>
      </w:r>
      <w:r w:rsidR="00E719C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Классификатором, из них </w:t>
      </w:r>
      <w:r w:rsidR="00D94871">
        <w:rPr>
          <w:rFonts w:ascii="Times New Roman" w:eastAsia="Times New Roman" w:hAnsi="Times New Roman"/>
          <w:sz w:val="28"/>
          <w:szCs w:val="28"/>
          <w:lang w:eastAsia="ru-RU"/>
        </w:rPr>
        <w:t xml:space="preserve">11 нарушений имеющих </w:t>
      </w:r>
      <w:r w:rsidR="00D31275">
        <w:rPr>
          <w:rFonts w:ascii="Times New Roman" w:eastAsia="Times New Roman" w:hAnsi="Times New Roman"/>
          <w:sz w:val="28"/>
          <w:szCs w:val="28"/>
          <w:lang w:eastAsia="ru-RU"/>
        </w:rPr>
        <w:t>стоимостную оценку, на общую сумму 92,4 тыс. рублей</w:t>
      </w:r>
      <w:r w:rsidR="00777FBA">
        <w:rPr>
          <w:rFonts w:ascii="Times New Roman" w:eastAsia="Times New Roman" w:hAnsi="Times New Roman"/>
          <w:sz w:val="28"/>
          <w:szCs w:val="28"/>
          <w:lang w:eastAsia="ru-RU"/>
        </w:rPr>
        <w:t>. Из них, средства района составляют  42,4 тыс. рублей</w:t>
      </w:r>
      <w:r w:rsidR="002961FF">
        <w:rPr>
          <w:rFonts w:ascii="Times New Roman" w:eastAsia="Times New Roman" w:hAnsi="Times New Roman"/>
          <w:sz w:val="28"/>
          <w:szCs w:val="28"/>
          <w:lang w:eastAsia="ru-RU"/>
        </w:rPr>
        <w:t>, 50,0 тыс. рублей средства поселений</w:t>
      </w:r>
      <w:r w:rsidR="00777F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08026B" w14:textId="77777777" w:rsidR="0098018C" w:rsidRDefault="00D31275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FBA">
        <w:rPr>
          <w:rFonts w:ascii="Times New Roman" w:eastAsia="Times New Roman" w:hAnsi="Times New Roman"/>
          <w:sz w:val="28"/>
          <w:szCs w:val="28"/>
          <w:lang w:eastAsia="ru-RU"/>
        </w:rPr>
        <w:t>Кроме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ого, установлен</w:t>
      </w:r>
      <w:r w:rsidR="003641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1C6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факт</w:t>
      </w:r>
      <w:r w:rsidR="003641C6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1C6">
        <w:rPr>
          <w:rFonts w:ascii="Times New Roman" w:eastAsia="Times New Roman" w:hAnsi="Times New Roman"/>
          <w:sz w:val="28"/>
          <w:szCs w:val="28"/>
          <w:lang w:eastAsia="ru-RU"/>
        </w:rPr>
        <w:t>неэффективного использования бюджетных средств на общую сумму 189,</w:t>
      </w:r>
      <w:r w:rsidR="00F51E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641C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77FBA">
        <w:rPr>
          <w:rFonts w:ascii="Times New Roman" w:eastAsia="Times New Roman" w:hAnsi="Times New Roman"/>
          <w:sz w:val="28"/>
          <w:szCs w:val="28"/>
          <w:lang w:eastAsia="ru-RU"/>
        </w:rPr>
        <w:t>, из них 179,2 тыс. рублей средства района</w:t>
      </w:r>
      <w:r w:rsidR="002961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3E0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961FF">
        <w:rPr>
          <w:rFonts w:ascii="Times New Roman" w:eastAsia="Times New Roman" w:hAnsi="Times New Roman"/>
          <w:sz w:val="28"/>
          <w:szCs w:val="28"/>
          <w:lang w:eastAsia="ru-RU"/>
        </w:rPr>
        <w:t>10,4 тыс. рублей средства поселений</w:t>
      </w:r>
      <w:r w:rsidR="00777F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051BE18" w14:textId="77777777" w:rsidR="0098018C" w:rsidRDefault="00777FBA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в разрезе видов нарушений по структуре Классификатора нарушений представлена в отчете в таблице.</w:t>
      </w:r>
    </w:p>
    <w:p w14:paraId="7AF65A49" w14:textId="77777777" w:rsidR="00777FBA" w:rsidRDefault="00B91225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принятия мер по результатам данных мероприятий направлено </w:t>
      </w:r>
      <w:r w:rsidR="006C004F">
        <w:rPr>
          <w:rFonts w:ascii="Times New Roman" w:eastAsia="Times New Roman" w:hAnsi="Times New Roman"/>
          <w:sz w:val="28"/>
          <w:szCs w:val="28"/>
          <w:lang w:eastAsia="ru-RU"/>
        </w:rPr>
        <w:t xml:space="preserve">5 представлений и </w:t>
      </w:r>
      <w:r w:rsidR="00D83E03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пис</w:t>
      </w:r>
      <w:r w:rsidR="00D83E03">
        <w:rPr>
          <w:rFonts w:ascii="Times New Roman" w:eastAsia="Times New Roman" w:hAnsi="Times New Roman"/>
          <w:sz w:val="28"/>
          <w:szCs w:val="28"/>
          <w:lang w:eastAsia="ru-RU"/>
        </w:rPr>
        <w:t>ьма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>, в которых внесено 90 предложений по устранению выявленных нарушений и совершенствованию бюджетного процесса, которые реализованы в полном объеме.</w:t>
      </w:r>
      <w:r w:rsidR="00D83E03" w:rsidRPr="00D83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>К дисциплинарной ответственности привлечены 5 должностных лиц (объявлены замечания).</w:t>
      </w:r>
    </w:p>
    <w:p w14:paraId="57F28BDE" w14:textId="1C17A7E1" w:rsidR="00584744" w:rsidRDefault="00144678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соглашением и</w:t>
      </w:r>
      <w:r w:rsidR="00626D31" w:rsidRPr="004F4147">
        <w:rPr>
          <w:rFonts w:ascii="Times New Roman" w:eastAsia="Times New Roman" w:hAnsi="Times New Roman"/>
          <w:sz w:val="28"/>
          <w:szCs w:val="28"/>
          <w:lang w:eastAsia="ru-RU"/>
        </w:rPr>
        <w:t>нформ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>ация о контрольных мероприяти</w:t>
      </w:r>
      <w:r w:rsidR="004310FC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>, в которых выявлены нарушения,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прокуратуру Дубровского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6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ECAC7A" w14:textId="77777777" w:rsidR="00CD397A" w:rsidRDefault="00FB6558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выше указанных выявленных финансовых нарушений объем нарушений, подлежащих устранению, составил </w:t>
      </w:r>
      <w:r w:rsidR="00207C79">
        <w:rPr>
          <w:rFonts w:ascii="Times New Roman" w:eastAsia="Times New Roman" w:hAnsi="Times New Roman"/>
          <w:sz w:val="28"/>
          <w:szCs w:val="28"/>
          <w:lang w:eastAsia="ru-RU"/>
        </w:rPr>
        <w:t>2,4 тыс. рублей, в целях устранения которых объектами контроля во исполнение предложений Контрольно-счётной палаты приняты следующие меры:</w:t>
      </w:r>
    </w:p>
    <w:p w14:paraId="28A17C38" w14:textId="77777777" w:rsidR="008D18E9" w:rsidRDefault="008D18E9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восстановлены бюджетные средства на счета бюджетных учреждений в сумме 0,3 тыс. рублей;</w:t>
      </w:r>
    </w:p>
    <w:p w14:paraId="56273726" w14:textId="77777777" w:rsidR="00207C79" w:rsidRDefault="001F74A4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выплачены</w:t>
      </w:r>
      <w:r w:rsidR="008D18E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денежные средства работникам бюджетных учреждений в сумме  2,1 тыс. рублей.</w:t>
      </w:r>
    </w:p>
    <w:p w14:paraId="397B9F98" w14:textId="77777777" w:rsidR="003F3321" w:rsidRDefault="003F3321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66E8C" w14:textId="5B14B15D" w:rsidR="00BC2419" w:rsidRDefault="00BC2419" w:rsidP="00BC2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4A4">
        <w:rPr>
          <w:rFonts w:ascii="Times New Roman" w:hAnsi="Times New Roman"/>
          <w:sz w:val="28"/>
          <w:szCs w:val="28"/>
        </w:rPr>
        <w:t xml:space="preserve">В результате </w:t>
      </w:r>
      <w:r w:rsidR="001F74A4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58700D">
        <w:rPr>
          <w:rFonts w:ascii="Times New Roman" w:hAnsi="Times New Roman"/>
          <w:sz w:val="28"/>
          <w:szCs w:val="28"/>
        </w:rPr>
        <w:t xml:space="preserve">проведенного в </w:t>
      </w:r>
      <w:r w:rsidR="001F74A4">
        <w:rPr>
          <w:rFonts w:ascii="Times New Roman" w:hAnsi="Times New Roman"/>
          <w:sz w:val="28"/>
          <w:szCs w:val="28"/>
        </w:rPr>
        <w:t>2019 год</w:t>
      </w:r>
      <w:r w:rsidR="0058700D">
        <w:rPr>
          <w:rFonts w:ascii="Times New Roman" w:hAnsi="Times New Roman"/>
          <w:sz w:val="28"/>
          <w:szCs w:val="28"/>
        </w:rPr>
        <w:t>у</w:t>
      </w:r>
      <w:r w:rsidRPr="00D72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отмечена задолженность </w:t>
      </w:r>
      <w:r w:rsidR="003108BA">
        <w:rPr>
          <w:rFonts w:ascii="Times New Roman" w:hAnsi="Times New Roman"/>
          <w:sz w:val="28"/>
          <w:szCs w:val="28"/>
        </w:rPr>
        <w:t xml:space="preserve">в бюджет </w:t>
      </w:r>
      <w:r>
        <w:rPr>
          <w:rFonts w:ascii="Times New Roman" w:hAnsi="Times New Roman"/>
          <w:sz w:val="28"/>
          <w:szCs w:val="28"/>
        </w:rPr>
        <w:t>за аренду земельных</w:t>
      </w:r>
      <w:r w:rsidR="0058700D">
        <w:rPr>
          <w:rFonts w:ascii="Times New Roman" w:hAnsi="Times New Roman"/>
          <w:sz w:val="28"/>
          <w:szCs w:val="28"/>
        </w:rPr>
        <w:t xml:space="preserve"> участков</w:t>
      </w:r>
      <w:r w:rsidR="00056526">
        <w:rPr>
          <w:rFonts w:ascii="Times New Roman" w:hAnsi="Times New Roman"/>
          <w:sz w:val="28"/>
          <w:szCs w:val="28"/>
        </w:rPr>
        <w:t xml:space="preserve"> в сумме 79,0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74A4">
        <w:rPr>
          <w:rFonts w:ascii="Times New Roman" w:hAnsi="Times New Roman"/>
          <w:sz w:val="28"/>
          <w:szCs w:val="28"/>
        </w:rPr>
        <w:t>П</w:t>
      </w:r>
      <w:r w:rsidRPr="00EE03E9">
        <w:rPr>
          <w:rFonts w:ascii="Times New Roman" w:hAnsi="Times New Roman"/>
          <w:sz w:val="28"/>
          <w:szCs w:val="28"/>
        </w:rPr>
        <w:t xml:space="preserve">о результатам претензионной работы </w:t>
      </w:r>
      <w:r w:rsidR="00754475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проведенной </w:t>
      </w:r>
      <w:r w:rsidRPr="00EE03E9">
        <w:rPr>
          <w:rFonts w:ascii="Times New Roman" w:hAnsi="Times New Roman"/>
          <w:sz w:val="28"/>
          <w:szCs w:val="28"/>
        </w:rPr>
        <w:t xml:space="preserve">с должниками,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EE03E9">
        <w:rPr>
          <w:rFonts w:ascii="Times New Roman" w:hAnsi="Times New Roman"/>
          <w:sz w:val="28"/>
          <w:szCs w:val="28"/>
        </w:rPr>
        <w:t xml:space="preserve">физическим лицом </w:t>
      </w:r>
      <w:r w:rsidR="003108BA">
        <w:rPr>
          <w:rFonts w:ascii="Times New Roman" w:hAnsi="Times New Roman"/>
          <w:sz w:val="28"/>
          <w:szCs w:val="28"/>
        </w:rPr>
        <w:t>погашена задолженность</w:t>
      </w:r>
      <w:r w:rsidRPr="00EE03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сумме 2,7 тыс. рублей</w:t>
      </w:r>
      <w:r w:rsidR="00B7773A">
        <w:rPr>
          <w:rFonts w:ascii="Times New Roman" w:hAnsi="Times New Roman"/>
          <w:sz w:val="28"/>
          <w:szCs w:val="28"/>
        </w:rPr>
        <w:t>, в январе 2021 года</w:t>
      </w:r>
      <w:r w:rsidR="0058700D">
        <w:rPr>
          <w:rFonts w:ascii="Times New Roman" w:hAnsi="Times New Roman"/>
          <w:sz w:val="28"/>
          <w:szCs w:val="28"/>
        </w:rPr>
        <w:t xml:space="preserve"> </w:t>
      </w:r>
      <w:r w:rsidRPr="00EE03E9">
        <w:rPr>
          <w:rFonts w:ascii="Times New Roman" w:hAnsi="Times New Roman"/>
          <w:sz w:val="28"/>
          <w:szCs w:val="28"/>
        </w:rPr>
        <w:t>юридическ</w:t>
      </w:r>
      <w:r w:rsidR="00754475">
        <w:rPr>
          <w:rFonts w:ascii="Times New Roman" w:hAnsi="Times New Roman"/>
          <w:sz w:val="28"/>
          <w:szCs w:val="28"/>
        </w:rPr>
        <w:t>им в сумме 76,3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49EBD304" w14:textId="77777777" w:rsidR="00BC61AD" w:rsidRDefault="00BC61AD" w:rsidP="00BC24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0B1857" w14:textId="77777777" w:rsidR="002C5594" w:rsidRDefault="007636C8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укрепления системы внешнего муниципального финансового контроля на территории Дубровского района в 2020 году оказывалась поддержка Контрольно-счётной палатой Брянской области по 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деятельности и осуществления внешнего муниципального финансового контроля.</w:t>
      </w:r>
    </w:p>
    <w:p w14:paraId="7FB1C447" w14:textId="77777777" w:rsidR="00924DA7" w:rsidRDefault="001B795C" w:rsidP="00BC61AD">
      <w:pPr>
        <w:pStyle w:val="31"/>
        <w:tabs>
          <w:tab w:val="left" w:pos="567"/>
        </w:tabs>
        <w:ind w:right="0"/>
        <w:rPr>
          <w:rStyle w:val="20"/>
          <w:rFonts w:eastAsia="Calibri"/>
          <w:sz w:val="28"/>
          <w:szCs w:val="28"/>
        </w:rPr>
      </w:pPr>
      <w:r>
        <w:rPr>
          <w:rFonts w:ascii="Times New Roman CYR" w:hAnsi="Times New Roman CYR"/>
          <w:szCs w:val="28"/>
        </w:rPr>
        <w:tab/>
      </w:r>
      <w:r w:rsidR="00924DA7" w:rsidRPr="00924DA7">
        <w:rPr>
          <w:rStyle w:val="20"/>
          <w:sz w:val="28"/>
          <w:szCs w:val="28"/>
        </w:rPr>
        <w:t>Совет</w:t>
      </w:r>
      <w:r w:rsidR="00924DA7">
        <w:rPr>
          <w:rStyle w:val="20"/>
          <w:rFonts w:eastAsia="Calibri"/>
          <w:sz w:val="28"/>
          <w:szCs w:val="28"/>
        </w:rPr>
        <w:t>ом</w:t>
      </w:r>
      <w:r w:rsidR="00924DA7" w:rsidRPr="00924DA7">
        <w:rPr>
          <w:rStyle w:val="20"/>
          <w:sz w:val="28"/>
          <w:szCs w:val="28"/>
        </w:rPr>
        <w:t xml:space="preserve"> контрольно-счетных органов Брянской области </w:t>
      </w:r>
      <w:r w:rsidR="00E64F84">
        <w:rPr>
          <w:rStyle w:val="20"/>
          <w:sz w:val="28"/>
          <w:szCs w:val="28"/>
        </w:rPr>
        <w:t xml:space="preserve">в </w:t>
      </w:r>
      <w:r w:rsidR="00924DA7" w:rsidRPr="00924DA7">
        <w:rPr>
          <w:rStyle w:val="20"/>
          <w:sz w:val="28"/>
          <w:szCs w:val="28"/>
        </w:rPr>
        <w:t>2020 год</w:t>
      </w:r>
      <w:r w:rsidR="00E64F84">
        <w:rPr>
          <w:rStyle w:val="20"/>
          <w:sz w:val="28"/>
          <w:szCs w:val="28"/>
        </w:rPr>
        <w:t>у</w:t>
      </w:r>
      <w:r w:rsidR="00924DA7" w:rsidRPr="00924DA7">
        <w:rPr>
          <w:rStyle w:val="20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 по состоянию на 1 декабря 2020 года.</w:t>
      </w:r>
    </w:p>
    <w:p w14:paraId="61C3CF9A" w14:textId="77777777" w:rsidR="002943B4" w:rsidRDefault="002943B4" w:rsidP="00BC61AD">
      <w:pPr>
        <w:spacing w:after="0" w:line="240" w:lineRule="auto"/>
        <w:ind w:firstLine="567"/>
        <w:jc w:val="both"/>
        <w:rPr>
          <w:rStyle w:val="20"/>
          <w:rFonts w:eastAsia="Calibri"/>
          <w:sz w:val="28"/>
          <w:szCs w:val="28"/>
        </w:rPr>
      </w:pPr>
      <w:r w:rsidRPr="002943B4">
        <w:rPr>
          <w:rStyle w:val="20"/>
          <w:rFonts w:eastAsia="Calibri"/>
          <w:sz w:val="28"/>
          <w:szCs w:val="28"/>
        </w:rPr>
        <w:t xml:space="preserve">Оценка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0"/>
          <w:rFonts w:eastAsia="Calibri"/>
          <w:sz w:val="28"/>
          <w:szCs w:val="28"/>
        </w:rPr>
        <w:t>и</w:t>
      </w:r>
      <w:r w:rsidRPr="002943B4">
        <w:rPr>
          <w:rStyle w:val="20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0"/>
          <w:rFonts w:eastAsia="Calibri"/>
          <w:sz w:val="28"/>
          <w:szCs w:val="28"/>
        </w:rPr>
        <w:t>.</w:t>
      </w:r>
    </w:p>
    <w:p w14:paraId="300031DF" w14:textId="77777777" w:rsidR="000A0586" w:rsidRDefault="00944955" w:rsidP="00BC61AD">
      <w:pPr>
        <w:spacing w:after="0" w:line="240" w:lineRule="auto"/>
        <w:ind w:firstLine="567"/>
        <w:jc w:val="both"/>
        <w:rPr>
          <w:rStyle w:val="20"/>
          <w:rFonts w:eastAsia="Calibri"/>
          <w:sz w:val="28"/>
          <w:szCs w:val="28"/>
        </w:rPr>
      </w:pPr>
      <w:r w:rsidRPr="00944955">
        <w:rPr>
          <w:rStyle w:val="20"/>
          <w:rFonts w:eastAsia="Calibri"/>
          <w:sz w:val="28"/>
          <w:szCs w:val="28"/>
        </w:rPr>
        <w:t>Результаты мониторинга свидетельствует о том, что по состоянию на 1 декабря 2020 года Контрольно-счётная палата Дубровского района имеет официальную страницу на официальном сайте администраций Дубровского района.</w:t>
      </w:r>
      <w:r w:rsidR="00D27135">
        <w:rPr>
          <w:rStyle w:val="20"/>
          <w:rFonts w:eastAsia="Calibri"/>
          <w:sz w:val="28"/>
          <w:szCs w:val="28"/>
        </w:rPr>
        <w:t xml:space="preserve"> </w:t>
      </w:r>
      <w:r w:rsidR="00B463FA" w:rsidRPr="00B463FA">
        <w:rPr>
          <w:rStyle w:val="20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="00B463FA">
        <w:rPr>
          <w:rStyle w:val="20"/>
          <w:rFonts w:eastAsia="Calibri"/>
          <w:sz w:val="28"/>
          <w:szCs w:val="28"/>
        </w:rPr>
        <w:t>Контрольно-счётной палаты Дубровского района</w:t>
      </w:r>
      <w:r w:rsidR="00B463FA" w:rsidRPr="00B463FA">
        <w:rPr>
          <w:rStyle w:val="20"/>
          <w:rFonts w:eastAsia="Calibri"/>
          <w:sz w:val="28"/>
          <w:szCs w:val="28"/>
        </w:rPr>
        <w:t xml:space="preserve"> по всему объему размещенной информации </w:t>
      </w:r>
      <w:r w:rsidR="007A0429" w:rsidRPr="007A0429">
        <w:rPr>
          <w:rStyle w:val="20"/>
          <w:rFonts w:eastAsia="Calibri"/>
          <w:sz w:val="28"/>
          <w:szCs w:val="28"/>
        </w:rPr>
        <w:t>соответствует оценке наполняемости сайта «отлично»</w:t>
      </w:r>
      <w:r w:rsidR="0015431F">
        <w:rPr>
          <w:rStyle w:val="20"/>
          <w:rFonts w:eastAsia="Calibri"/>
          <w:sz w:val="28"/>
          <w:szCs w:val="28"/>
        </w:rPr>
        <w:t xml:space="preserve">, </w:t>
      </w:r>
      <w:r w:rsidR="0015431F" w:rsidRPr="0015431F">
        <w:rPr>
          <w:rStyle w:val="20"/>
          <w:rFonts w:eastAsia="Calibri"/>
          <w:sz w:val="28"/>
          <w:szCs w:val="28"/>
        </w:rPr>
        <w:t>итоговое значение коэффициента открытости и доступности по совокупности параметров находится в пределах 100 процентов.</w:t>
      </w:r>
    </w:p>
    <w:p w14:paraId="1285F335" w14:textId="77777777" w:rsidR="00884FE8" w:rsidRPr="00884FE8" w:rsidRDefault="00884FE8" w:rsidP="00884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FE8">
        <w:rPr>
          <w:rFonts w:ascii="Times New Roman" w:eastAsia="Times New Roman" w:hAnsi="Times New Roman"/>
          <w:sz w:val="28"/>
          <w:szCs w:val="28"/>
          <w:lang w:eastAsia="ru-RU"/>
        </w:rPr>
        <w:t>В  отчетном  периоде  в  целях  совершенствования  практики  нематериальной мотивации  служебной  деятельности  в  Контрольно-счетной  палате  Брянской области  утверждено  Положение  о  Доске  почета.  В  холле  на  декоративном  стенде  размещены  фотопортреты поощренных  с  указанием  под  ними  фамилии,  имени,  отчества  и  замещаемой должности.  На  Доске  почета  размещены  фотопортреты  сотрудников контрольно-счетных  органов  муниципальных  образований  Брянской  области. Аналогичная информация размещена на сайте Контрольно-счётной палаты  Брянской области.</w:t>
      </w:r>
    </w:p>
    <w:p w14:paraId="37CFFEC3" w14:textId="77777777" w:rsidR="00884FE8" w:rsidRPr="0015431F" w:rsidRDefault="00884FE8" w:rsidP="00BC61AD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416D55C2" w14:textId="75E4AA98" w:rsidR="007636C8" w:rsidRDefault="001159E2" w:rsidP="00115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>В 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году  в  целях  поддержания  и  повышения  уровня  квалификации,  необходимого  для  надлежащего 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>должностных  обязанностей,  служащи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Контрольно-счётной палаты</w:t>
      </w: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>л  повышение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>квалификации.</w:t>
      </w:r>
    </w:p>
    <w:p w14:paraId="1A7FC1EE" w14:textId="77777777" w:rsidR="00D41E0D" w:rsidRDefault="00D41E0D" w:rsidP="00115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3F81C2" w14:textId="77777777" w:rsidR="00D41E0D" w:rsidRPr="00D41E0D" w:rsidRDefault="00D41E0D" w:rsidP="00D4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Дубровского муниципального района Брянской области на 2020 год и на плановый период 2021 и 2022 годов», бюджетные ассигнования на содержание и обеспечение деятельности Контрольно-счётной палаты утверждены в размере </w:t>
      </w:r>
      <w:r w:rsidR="000768E2">
        <w:rPr>
          <w:rFonts w:ascii="Times New Roman" w:eastAsia="Times New Roman" w:hAnsi="Times New Roman"/>
          <w:bCs/>
          <w:sz w:val="28"/>
          <w:szCs w:val="28"/>
          <w:lang w:eastAsia="ru-RU"/>
        </w:rPr>
        <w:t>504,2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 Исполнение бюджетной сметы Контрольно-счётной палаты в отчетном году составило </w:t>
      </w:r>
      <w:r w:rsidR="000768E2">
        <w:rPr>
          <w:rFonts w:ascii="Times New Roman" w:eastAsia="Times New Roman" w:hAnsi="Times New Roman"/>
          <w:bCs/>
          <w:sz w:val="28"/>
          <w:szCs w:val="28"/>
          <w:lang w:eastAsia="ru-RU"/>
        </w:rPr>
        <w:t>498,4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или </w:t>
      </w:r>
      <w:r w:rsidR="000768E2">
        <w:rPr>
          <w:rFonts w:ascii="Times New Roman" w:eastAsia="Times New Roman" w:hAnsi="Times New Roman"/>
          <w:bCs/>
          <w:sz w:val="28"/>
          <w:szCs w:val="28"/>
          <w:lang w:eastAsia="ru-RU"/>
        </w:rPr>
        <w:t>98,85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израсходованы: на оплату труда с начислениями </w:t>
      </w:r>
      <w:r w:rsidR="000768E2">
        <w:rPr>
          <w:rFonts w:ascii="Times New Roman" w:eastAsia="Times New Roman" w:hAnsi="Times New Roman"/>
          <w:bCs/>
          <w:sz w:val="28"/>
          <w:szCs w:val="28"/>
          <w:lang w:eastAsia="ru-RU"/>
        </w:rPr>
        <w:t>457,8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на закупку товаров, работ и услуг </w:t>
      </w:r>
      <w:r w:rsidR="000768E2">
        <w:rPr>
          <w:rFonts w:ascii="Times New Roman" w:eastAsia="Times New Roman" w:hAnsi="Times New Roman"/>
          <w:bCs/>
          <w:sz w:val="28"/>
          <w:szCs w:val="28"/>
          <w:lang w:eastAsia="ru-RU"/>
        </w:rPr>
        <w:t>40,6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14:paraId="4961AF17" w14:textId="77777777" w:rsidR="00D41E0D" w:rsidRPr="00D41E0D" w:rsidRDefault="00D41E0D" w:rsidP="00F1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течение отчетного периода кадровая работа в Контрольно-счётной палате проводилась в соответствии с законодательством. По состоянию на 1 января 202</w:t>
      </w:r>
      <w:r w:rsidR="00F1630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должность муниципальной службы, 1 единица – должность не отнесенная к муниципальной службе. Фактический состав – 1 единица инспектора и.о председателя. </w:t>
      </w:r>
    </w:p>
    <w:p w14:paraId="4386E75D" w14:textId="77777777" w:rsidR="00D41E0D" w:rsidRPr="00D41E0D" w:rsidRDefault="00D41E0D" w:rsidP="00F1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>Служащими Контрольно-счётной палаты своевременно представлены сведения о своих доходах, расходах, об имуществе и обязательствах имущественного характера</w:t>
      </w:r>
      <w:r w:rsidR="00F1630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Представленные сведения в установленный законодательством срок размещены на сайте Администрации Дубровского района на странице КСП.</w:t>
      </w:r>
    </w:p>
    <w:p w14:paraId="2966A4BE" w14:textId="77777777" w:rsidR="00D41E0D" w:rsidRPr="00D41E0D" w:rsidRDefault="00D41E0D" w:rsidP="00F1630B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E0D">
        <w:rPr>
          <w:rFonts w:ascii="Times New Roman" w:eastAsia="Times New Roman" w:hAnsi="Times New Roman"/>
          <w:bCs/>
          <w:sz w:val="28"/>
          <w:szCs w:val="28"/>
          <w:lang w:eastAsia="ru-RU"/>
        </w:rPr>
        <w:t>За истекший период 2020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и.о председателя Контрольно-счётной палаты не поступало.</w:t>
      </w:r>
    </w:p>
    <w:p w14:paraId="61CACB36" w14:textId="77777777" w:rsidR="00D41E0D" w:rsidRPr="00D41E0D" w:rsidRDefault="00D41E0D" w:rsidP="00D4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2CDAE" w14:textId="77777777" w:rsidR="000030A7" w:rsidRDefault="00C518D9" w:rsidP="005F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9E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палатой будет продолжена работа по дальнейшему укреплению и развитию единой системы контроля, формирования и исполнения бюджета </w:t>
      </w:r>
      <w:r w:rsidR="008818EF">
        <w:rPr>
          <w:rFonts w:ascii="Times New Roman" w:eastAsia="Times New Roman" w:hAnsi="Times New Roman"/>
          <w:sz w:val="28"/>
          <w:szCs w:val="28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бюджета городского и 6 сельских поселений.                  </w:t>
      </w:r>
    </w:p>
    <w:p w14:paraId="06F957BE" w14:textId="77777777" w:rsidR="00C518D9" w:rsidRDefault="00C518D9" w:rsidP="005F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Внедрение в контрольную практику новых форм и методов работы, совершенствование правового, методологического и информационного обеспечения муниципального финансового контроля на территории Дубровского района, расширение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14:paraId="26A7CB19" w14:textId="77777777" w:rsidR="00C518D9" w:rsidRDefault="00C518D9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2744F8" w14:textId="77777777" w:rsidR="00902880" w:rsidRDefault="00902880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8D8B21" w14:textId="77777777" w:rsidR="004248C4" w:rsidRDefault="004248C4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1F2AD5" w14:textId="77777777" w:rsidR="004248C4" w:rsidRDefault="004248C4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BB0FE9" w14:textId="77777777" w:rsidR="004248C4" w:rsidRDefault="004248C4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5E3204" w14:textId="77777777" w:rsidR="004248C4" w:rsidRDefault="004248C4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B18B28" w14:textId="77777777" w:rsidR="004248C4" w:rsidRDefault="004248C4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347738" w14:textId="77777777" w:rsidR="00902880" w:rsidRDefault="00902880" w:rsidP="00902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Дороденкова</w:t>
      </w:r>
    </w:p>
    <w:p w14:paraId="3ACE5239" w14:textId="77777777" w:rsidR="00902880" w:rsidRDefault="00902880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351500" w14:textId="77777777" w:rsidR="00902880" w:rsidRDefault="00902880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34EA2" w14:textId="77777777" w:rsidR="00902880" w:rsidRDefault="00902880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9C6815" w14:textId="77777777" w:rsidR="004248C4" w:rsidRDefault="004248C4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51AF30" w14:textId="77777777" w:rsidR="004248C4" w:rsidRDefault="004248C4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EE5F40" w14:textId="77777777" w:rsidR="003B3537" w:rsidRPr="00943471" w:rsidRDefault="003B3537" w:rsidP="00943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4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в разрезе видов нарушений по структуре Классификатора нарушений выявленных в ходе контроля представлена в таблице.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17"/>
        <w:gridCol w:w="3637"/>
        <w:gridCol w:w="1127"/>
        <w:gridCol w:w="1057"/>
        <w:gridCol w:w="701"/>
        <w:gridCol w:w="716"/>
        <w:gridCol w:w="23"/>
        <w:gridCol w:w="792"/>
      </w:tblGrid>
      <w:tr w:rsidR="003B3537" w14:paraId="410DD0A4" w14:textId="77777777" w:rsidTr="0006409D">
        <w:trPr>
          <w:trHeight w:val="30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8DC1C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по </w:t>
            </w: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Классификатору нарушений</w:t>
            </w:r>
          </w:p>
        </w:tc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116A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5D111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всего (ед.)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276E8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(тыс.рублей)</w:t>
            </w:r>
          </w:p>
        </w:tc>
        <w:tc>
          <w:tcPr>
            <w:tcW w:w="11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78742D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 них средства:</w:t>
            </w:r>
          </w:p>
        </w:tc>
      </w:tr>
      <w:tr w:rsidR="003B3537" w14:paraId="2CDB64A9" w14:textId="77777777" w:rsidTr="0006409D">
        <w:trPr>
          <w:trHeight w:val="1800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A0BCE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3AAB5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8EFE5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EDB1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F6A6C5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 года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68BCFD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 года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2725A1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 2018 года включи-тельно</w:t>
            </w:r>
          </w:p>
        </w:tc>
      </w:tr>
      <w:tr w:rsidR="003B3537" w14:paraId="5121179D" w14:textId="77777777" w:rsidTr="0006409D">
        <w:trPr>
          <w:trHeight w:val="43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14:paraId="77B172B2" w14:textId="77777777" w:rsidR="003B3537" w:rsidRPr="0006409D" w:rsidRDefault="003B353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14:paraId="6D8A058E" w14:textId="77777777" w:rsidR="003B3537" w:rsidRPr="0006409D" w:rsidRDefault="003B3537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3041231" w14:textId="77777777" w:rsidR="003B3537" w:rsidRPr="0006409D" w:rsidRDefault="003B35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2E3ADA83" w14:textId="77777777" w:rsidR="003B3537" w:rsidRPr="0006409D" w:rsidRDefault="003B35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282,0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22DD9EF8" w14:textId="77777777" w:rsidR="003B3537" w:rsidRPr="0006409D" w:rsidRDefault="003B35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2B285F98" w14:textId="77777777" w:rsidR="003B3537" w:rsidRPr="0006409D" w:rsidRDefault="003B35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281,9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6E81958" w14:textId="77777777" w:rsidR="003B3537" w:rsidRPr="0006409D" w:rsidRDefault="003B3537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B3537" w14:paraId="299DDAE6" w14:textId="77777777" w:rsidTr="0006409D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C948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Нарушения согласно Классификатора нарушений, выявляемых в ходе внешнего государственного аудита (контроля)</w:t>
            </w:r>
          </w:p>
        </w:tc>
      </w:tr>
      <w:tr w:rsidR="003B3537" w14:paraId="6F2DB712" w14:textId="77777777" w:rsidTr="0006409D">
        <w:trPr>
          <w:trHeight w:val="57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14:paraId="27E37A41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5CD5DB24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выявленных нарушений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1344D184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52267BD6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29699424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5264E2EC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03625A45" w14:textId="77777777" w:rsidR="003B3537" w:rsidRPr="0006409D" w:rsidRDefault="003B3537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B3537" w14:paraId="5ACDD8C1" w14:textId="77777777" w:rsidTr="0006409D">
        <w:trPr>
          <w:trHeight w:val="6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14:paraId="47D51B9C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RANGE!A6:A58"/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  <w:bookmarkEnd w:id="0"/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55910311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372F8362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34D02922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30C6D1B9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56686DEA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7F4D7D53" w14:textId="77777777" w:rsidR="003B3537" w:rsidRPr="0006409D" w:rsidRDefault="003B3537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B3537" w14:paraId="56B0BD32" w14:textId="77777777" w:rsidTr="0006409D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14:paraId="26014AD8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1.1.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14:paraId="1AA0F512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2BE67AA6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3FBF43E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33D5C25F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2A8E73CE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35FD6FA4" w14:textId="77777777" w:rsidR="003B3537" w:rsidRPr="0006409D" w:rsidRDefault="003B3537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B3537" w14:paraId="58267669" w14:textId="77777777" w:rsidTr="0006409D">
        <w:trPr>
          <w:trHeight w:val="57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001A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D697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1CF9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4630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6F16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7C0D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EF7D" w14:textId="77777777" w:rsidR="003B3537" w:rsidRPr="0006409D" w:rsidRDefault="003B353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3537" w14:paraId="40FDFC77" w14:textId="77777777" w:rsidTr="0006409D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5699787A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58AFD475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 ходе исполнения бюджетов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C767B2C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18602BB1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3C78DD93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03D913B1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92,4 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39D52520" w14:textId="77777777" w:rsidR="003B3537" w:rsidRPr="0006409D" w:rsidRDefault="003B35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3537" w14:paraId="740B573A" w14:textId="77777777" w:rsidTr="0006409D">
        <w:trPr>
          <w:trHeight w:val="57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31C7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1.2.95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8340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EDB7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98D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486B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14AD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0897" w14:textId="77777777" w:rsidR="003B3537" w:rsidRPr="0006409D" w:rsidRDefault="003B353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3537" w14:paraId="1651B25E" w14:textId="77777777" w:rsidTr="0006409D">
        <w:trPr>
          <w:trHeight w:val="171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C1F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1.2.96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2B70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2A00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1253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C934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9B91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F50D" w14:textId="77777777" w:rsidR="003B3537" w:rsidRPr="0006409D" w:rsidRDefault="003B353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3537" w14:paraId="5844B360" w14:textId="77777777" w:rsidTr="0006409D">
        <w:trPr>
          <w:trHeight w:val="8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6DEE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1.2.100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1CA1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Неосуществление бюджетных полномочий получателя бюджетных средств (за исключением нарушений, указанных в иных п.х классификатора)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05CF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AE50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448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A33D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4721" w14:textId="77777777" w:rsidR="003B3537" w:rsidRPr="0006409D" w:rsidRDefault="003B353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3537" w14:paraId="2E6680CD" w14:textId="77777777" w:rsidTr="0006409D">
        <w:trPr>
          <w:trHeight w:val="171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436A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1.2.101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5AC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п.х классификатора)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2AFF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455D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DAA1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FDCB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547F" w14:textId="77777777" w:rsidR="003B3537" w:rsidRPr="0006409D" w:rsidRDefault="003B353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3537" w14:paraId="4E4F3246" w14:textId="77777777" w:rsidTr="0006409D">
        <w:trPr>
          <w:trHeight w:val="171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0B32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1.2.6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4506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B213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53E7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85F6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D4F5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8363" w14:textId="77777777" w:rsidR="003B3537" w:rsidRPr="0006409D" w:rsidRDefault="003B3537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B3537" w14:paraId="0DD42787" w14:textId="77777777" w:rsidTr="0006409D">
        <w:trPr>
          <w:trHeight w:val="93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F4881F1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2BADE493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926B611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D237BC5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05502D5B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FE8A80A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B837960" w14:textId="77777777" w:rsidR="003B3537" w:rsidRPr="0006409D" w:rsidRDefault="003B35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3537" w14:paraId="07422FCB" w14:textId="77777777" w:rsidTr="0006409D">
        <w:trPr>
          <w:trHeight w:val="8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1CBE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6F6D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9099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BEA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D425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7E43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9C9E" w14:textId="77777777" w:rsidR="003B3537" w:rsidRPr="0006409D" w:rsidRDefault="003B353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3537" w14:paraId="2C6C368E" w14:textId="77777777" w:rsidTr="0006409D">
        <w:trPr>
          <w:trHeight w:val="57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42C9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C9CD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7A77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FB86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2AC9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1219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21F3" w14:textId="77777777" w:rsidR="003B3537" w:rsidRPr="0006409D" w:rsidRDefault="003B353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3537" w14:paraId="0F5476CD" w14:textId="77777777" w:rsidTr="0006409D">
        <w:trPr>
          <w:trHeight w:val="6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E759FCE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118080D9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09DBC49A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F11EB29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7D776BF7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975EE65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C4788B5" w14:textId="77777777" w:rsidR="003B3537" w:rsidRPr="0006409D" w:rsidRDefault="003B3537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B3537" w14:paraId="1F1DC7A7" w14:textId="77777777" w:rsidTr="0006409D">
        <w:trPr>
          <w:trHeight w:val="57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5171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3404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60BC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9A0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93FD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019D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C06C" w14:textId="77777777" w:rsidR="003B3537" w:rsidRPr="0006409D" w:rsidRDefault="003B353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3537" w14:paraId="0DC50A96" w14:textId="77777777" w:rsidTr="0006409D">
        <w:trPr>
          <w:trHeight w:val="9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54811208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769D97DE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16D80D1F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797C2045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29EEF83F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FB6420E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1E1103A1" w14:textId="77777777" w:rsidR="003B3537" w:rsidRPr="0006409D" w:rsidRDefault="003B3537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3B3537" w14:paraId="0C694F0F" w14:textId="77777777" w:rsidTr="0006409D">
        <w:trPr>
          <w:trHeight w:val="9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E0D3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4.5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F1AA" w14:textId="77777777" w:rsidR="003B3537" w:rsidRPr="0006409D" w:rsidRDefault="003B3537" w:rsidP="0094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FFFE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8938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9EE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F55" w14:textId="77777777" w:rsidR="003B3537" w:rsidRPr="0006409D" w:rsidRDefault="003B3537" w:rsidP="009434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5AB3" w14:textId="77777777" w:rsidR="003B3537" w:rsidRPr="0006409D" w:rsidRDefault="003B3537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3537" w14:paraId="1932A840" w14:textId="77777777" w:rsidTr="0006409D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B79C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2. Прочие</w:t>
            </w:r>
          </w:p>
        </w:tc>
      </w:tr>
      <w:tr w:rsidR="003B3537" w14:paraId="2F65A89A" w14:textId="77777777" w:rsidTr="0006409D">
        <w:trPr>
          <w:trHeight w:val="3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76D6B27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BB49115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Прочие нарушения и недостатки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92EAB44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3E6D4B56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01EFF0D9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CF756B2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7C5EEC3" w14:textId="77777777" w:rsidR="003B3537" w:rsidRPr="0006409D" w:rsidRDefault="003B35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3537" w14:paraId="094CEFBC" w14:textId="77777777" w:rsidTr="0006409D">
        <w:trPr>
          <w:trHeight w:val="60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A01D5CA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37388E9" w14:textId="77777777" w:rsidR="003B3537" w:rsidRPr="0006409D" w:rsidRDefault="003B3537" w:rsidP="009434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Необеспечение эффективности и результативности использования средств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62584D60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709D49F1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5D2A9C3C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46B88309" w14:textId="77777777" w:rsidR="003B3537" w:rsidRPr="0006409D" w:rsidRDefault="003B3537" w:rsidP="00943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14:paraId="2F87D6EC" w14:textId="77777777" w:rsidR="003B3537" w:rsidRPr="0006409D" w:rsidRDefault="003B35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640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6795A429" w14:textId="77777777" w:rsidR="005D673C" w:rsidRDefault="005D673C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C7A0D1" w14:textId="77777777" w:rsidR="00FF380C" w:rsidRDefault="00FF380C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716FA7" w14:textId="77777777" w:rsidR="00FF380C" w:rsidRDefault="00FF380C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D55213" w14:textId="77777777" w:rsidR="000E648C" w:rsidRDefault="000E648C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648C" w:rsidSect="00DE31B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DC6E" w14:textId="77777777" w:rsidR="0004096A" w:rsidRDefault="0004096A" w:rsidP="00DE31BC">
      <w:pPr>
        <w:spacing w:after="0" w:line="240" w:lineRule="auto"/>
      </w:pPr>
      <w:r>
        <w:separator/>
      </w:r>
    </w:p>
  </w:endnote>
  <w:endnote w:type="continuationSeparator" w:id="0">
    <w:p w14:paraId="2EB59D60" w14:textId="77777777" w:rsidR="0004096A" w:rsidRDefault="0004096A" w:rsidP="00D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9659" w14:textId="77777777" w:rsidR="0004096A" w:rsidRDefault="0004096A" w:rsidP="00DE31BC">
      <w:pPr>
        <w:spacing w:after="0" w:line="240" w:lineRule="auto"/>
      </w:pPr>
      <w:r>
        <w:separator/>
      </w:r>
    </w:p>
  </w:footnote>
  <w:footnote w:type="continuationSeparator" w:id="0">
    <w:p w14:paraId="3231A4E3" w14:textId="77777777" w:rsidR="0004096A" w:rsidRDefault="0004096A" w:rsidP="00DE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75596"/>
      <w:docPartObj>
        <w:docPartGallery w:val="Page Numbers (Top of Page)"/>
        <w:docPartUnique/>
      </w:docPartObj>
    </w:sdtPr>
    <w:sdtEndPr/>
    <w:sdtContent>
      <w:p w14:paraId="39A3DF95" w14:textId="77777777" w:rsidR="002C5594" w:rsidRDefault="002D5D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531B7" w14:textId="77777777" w:rsidR="002C5594" w:rsidRDefault="002C55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733"/>
    <w:multiLevelType w:val="hybridMultilevel"/>
    <w:tmpl w:val="24286CB6"/>
    <w:lvl w:ilvl="0" w:tplc="B23657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D50E2"/>
    <w:multiLevelType w:val="hybridMultilevel"/>
    <w:tmpl w:val="FBB05394"/>
    <w:lvl w:ilvl="0" w:tplc="29946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7A162D"/>
    <w:multiLevelType w:val="hybridMultilevel"/>
    <w:tmpl w:val="0024B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967F19"/>
    <w:multiLevelType w:val="hybridMultilevel"/>
    <w:tmpl w:val="3AAC2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1123"/>
    <w:multiLevelType w:val="hybridMultilevel"/>
    <w:tmpl w:val="1CAC319A"/>
    <w:lvl w:ilvl="0" w:tplc="70E0BBD2">
      <w:start w:val="1"/>
      <w:numFmt w:val="decimal"/>
      <w:lvlText w:val="%1."/>
      <w:lvlJc w:val="left"/>
      <w:pPr>
        <w:ind w:left="232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68162F"/>
    <w:multiLevelType w:val="hybridMultilevel"/>
    <w:tmpl w:val="E9D8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315"/>
    <w:multiLevelType w:val="hybridMultilevel"/>
    <w:tmpl w:val="E2E4CA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CC"/>
    <w:rsid w:val="000030A7"/>
    <w:rsid w:val="0001696C"/>
    <w:rsid w:val="00020CD7"/>
    <w:rsid w:val="00022FBE"/>
    <w:rsid w:val="00023135"/>
    <w:rsid w:val="00030205"/>
    <w:rsid w:val="00031A08"/>
    <w:rsid w:val="0004096A"/>
    <w:rsid w:val="0004764F"/>
    <w:rsid w:val="00055882"/>
    <w:rsid w:val="00056526"/>
    <w:rsid w:val="0006409D"/>
    <w:rsid w:val="00066A79"/>
    <w:rsid w:val="00070317"/>
    <w:rsid w:val="00072A76"/>
    <w:rsid w:val="000768E2"/>
    <w:rsid w:val="00076CE4"/>
    <w:rsid w:val="000815FA"/>
    <w:rsid w:val="000A0586"/>
    <w:rsid w:val="000B6D37"/>
    <w:rsid w:val="000C0335"/>
    <w:rsid w:val="000C1B83"/>
    <w:rsid w:val="000D5B34"/>
    <w:rsid w:val="000D7BFF"/>
    <w:rsid w:val="000E3F9E"/>
    <w:rsid w:val="000E4166"/>
    <w:rsid w:val="000E648C"/>
    <w:rsid w:val="000E7FE9"/>
    <w:rsid w:val="000F13B3"/>
    <w:rsid w:val="000F621A"/>
    <w:rsid w:val="00112B52"/>
    <w:rsid w:val="001159E2"/>
    <w:rsid w:val="00127686"/>
    <w:rsid w:val="001351A2"/>
    <w:rsid w:val="00135577"/>
    <w:rsid w:val="001427D3"/>
    <w:rsid w:val="00144678"/>
    <w:rsid w:val="00144CC0"/>
    <w:rsid w:val="0015431F"/>
    <w:rsid w:val="00155533"/>
    <w:rsid w:val="0015740B"/>
    <w:rsid w:val="0016391E"/>
    <w:rsid w:val="00164196"/>
    <w:rsid w:val="0016769E"/>
    <w:rsid w:val="00174899"/>
    <w:rsid w:val="00175CF6"/>
    <w:rsid w:val="00180B0C"/>
    <w:rsid w:val="001812B0"/>
    <w:rsid w:val="0018695B"/>
    <w:rsid w:val="001926BD"/>
    <w:rsid w:val="001A7F29"/>
    <w:rsid w:val="001B2E03"/>
    <w:rsid w:val="001B795C"/>
    <w:rsid w:val="001C1D9D"/>
    <w:rsid w:val="001C6D19"/>
    <w:rsid w:val="001D0F1F"/>
    <w:rsid w:val="001D7E6D"/>
    <w:rsid w:val="001E59E9"/>
    <w:rsid w:val="001F04F7"/>
    <w:rsid w:val="001F4134"/>
    <w:rsid w:val="001F5D12"/>
    <w:rsid w:val="001F732C"/>
    <w:rsid w:val="001F74A4"/>
    <w:rsid w:val="0020570A"/>
    <w:rsid w:val="00207362"/>
    <w:rsid w:val="00207C79"/>
    <w:rsid w:val="00212CA9"/>
    <w:rsid w:val="002163AB"/>
    <w:rsid w:val="00226316"/>
    <w:rsid w:val="00236431"/>
    <w:rsid w:val="00240328"/>
    <w:rsid w:val="00240C98"/>
    <w:rsid w:val="002420C6"/>
    <w:rsid w:val="002507FD"/>
    <w:rsid w:val="00257E75"/>
    <w:rsid w:val="00264460"/>
    <w:rsid w:val="002803DB"/>
    <w:rsid w:val="002826FA"/>
    <w:rsid w:val="0028315A"/>
    <w:rsid w:val="0028633C"/>
    <w:rsid w:val="002943B4"/>
    <w:rsid w:val="00294E01"/>
    <w:rsid w:val="002961FF"/>
    <w:rsid w:val="002A709D"/>
    <w:rsid w:val="002B56EA"/>
    <w:rsid w:val="002C2ED5"/>
    <w:rsid w:val="002C5594"/>
    <w:rsid w:val="002D03D7"/>
    <w:rsid w:val="002D07C5"/>
    <w:rsid w:val="002D5DA9"/>
    <w:rsid w:val="002F4246"/>
    <w:rsid w:val="00302A80"/>
    <w:rsid w:val="00304C12"/>
    <w:rsid w:val="003108BA"/>
    <w:rsid w:val="00311AF2"/>
    <w:rsid w:val="00316157"/>
    <w:rsid w:val="003209E3"/>
    <w:rsid w:val="00330B3B"/>
    <w:rsid w:val="00332190"/>
    <w:rsid w:val="00343837"/>
    <w:rsid w:val="00355BFB"/>
    <w:rsid w:val="003641C6"/>
    <w:rsid w:val="00383DC5"/>
    <w:rsid w:val="003A1BA8"/>
    <w:rsid w:val="003B3537"/>
    <w:rsid w:val="003B38E6"/>
    <w:rsid w:val="003B4019"/>
    <w:rsid w:val="003B488F"/>
    <w:rsid w:val="003E3DF9"/>
    <w:rsid w:val="003E433B"/>
    <w:rsid w:val="003E7D0A"/>
    <w:rsid w:val="003F0E5A"/>
    <w:rsid w:val="003F3321"/>
    <w:rsid w:val="003F46D4"/>
    <w:rsid w:val="003F63F9"/>
    <w:rsid w:val="00402922"/>
    <w:rsid w:val="00411C20"/>
    <w:rsid w:val="004248C4"/>
    <w:rsid w:val="00425B9F"/>
    <w:rsid w:val="00426278"/>
    <w:rsid w:val="004310FC"/>
    <w:rsid w:val="00431503"/>
    <w:rsid w:val="00431A2A"/>
    <w:rsid w:val="00432BBC"/>
    <w:rsid w:val="00433453"/>
    <w:rsid w:val="004541B6"/>
    <w:rsid w:val="00455085"/>
    <w:rsid w:val="00457C09"/>
    <w:rsid w:val="00460896"/>
    <w:rsid w:val="004618B9"/>
    <w:rsid w:val="0048017D"/>
    <w:rsid w:val="004878BA"/>
    <w:rsid w:val="004A6387"/>
    <w:rsid w:val="004B0BFE"/>
    <w:rsid w:val="004B6AEF"/>
    <w:rsid w:val="004C2178"/>
    <w:rsid w:val="004C4043"/>
    <w:rsid w:val="004C69DE"/>
    <w:rsid w:val="004E0D46"/>
    <w:rsid w:val="004E2EBB"/>
    <w:rsid w:val="004E4806"/>
    <w:rsid w:val="004E598D"/>
    <w:rsid w:val="004F180A"/>
    <w:rsid w:val="004F4147"/>
    <w:rsid w:val="004F4B92"/>
    <w:rsid w:val="0050334E"/>
    <w:rsid w:val="00507741"/>
    <w:rsid w:val="00512FCC"/>
    <w:rsid w:val="00522D2B"/>
    <w:rsid w:val="00524D69"/>
    <w:rsid w:val="005278FF"/>
    <w:rsid w:val="00540460"/>
    <w:rsid w:val="005559BF"/>
    <w:rsid w:val="00561E0E"/>
    <w:rsid w:val="005649C4"/>
    <w:rsid w:val="00566155"/>
    <w:rsid w:val="0058238B"/>
    <w:rsid w:val="00584744"/>
    <w:rsid w:val="0058700D"/>
    <w:rsid w:val="005911C3"/>
    <w:rsid w:val="005969BF"/>
    <w:rsid w:val="005B311D"/>
    <w:rsid w:val="005B3660"/>
    <w:rsid w:val="005B7336"/>
    <w:rsid w:val="005D4FAA"/>
    <w:rsid w:val="005D673C"/>
    <w:rsid w:val="005E1A73"/>
    <w:rsid w:val="005E4892"/>
    <w:rsid w:val="005E5383"/>
    <w:rsid w:val="005F391E"/>
    <w:rsid w:val="005F47F2"/>
    <w:rsid w:val="006017D9"/>
    <w:rsid w:val="00603B39"/>
    <w:rsid w:val="00607012"/>
    <w:rsid w:val="00620367"/>
    <w:rsid w:val="00626D31"/>
    <w:rsid w:val="006347C8"/>
    <w:rsid w:val="00643569"/>
    <w:rsid w:val="006449D9"/>
    <w:rsid w:val="00645978"/>
    <w:rsid w:val="00660CC2"/>
    <w:rsid w:val="00662320"/>
    <w:rsid w:val="006666CF"/>
    <w:rsid w:val="00696337"/>
    <w:rsid w:val="006C004F"/>
    <w:rsid w:val="006E0381"/>
    <w:rsid w:val="006E1975"/>
    <w:rsid w:val="006E249A"/>
    <w:rsid w:val="006E73BA"/>
    <w:rsid w:val="006F47E0"/>
    <w:rsid w:val="00700CE8"/>
    <w:rsid w:val="00706AE2"/>
    <w:rsid w:val="00710560"/>
    <w:rsid w:val="00734AF1"/>
    <w:rsid w:val="00744544"/>
    <w:rsid w:val="00746654"/>
    <w:rsid w:val="0074710C"/>
    <w:rsid w:val="00751B71"/>
    <w:rsid w:val="00752972"/>
    <w:rsid w:val="00754475"/>
    <w:rsid w:val="007636C8"/>
    <w:rsid w:val="00777FBA"/>
    <w:rsid w:val="00782C4A"/>
    <w:rsid w:val="00786331"/>
    <w:rsid w:val="007A0429"/>
    <w:rsid w:val="007A5462"/>
    <w:rsid w:val="007B15A1"/>
    <w:rsid w:val="007C676E"/>
    <w:rsid w:val="007D09C9"/>
    <w:rsid w:val="007E56AF"/>
    <w:rsid w:val="007F0ED2"/>
    <w:rsid w:val="007F28C2"/>
    <w:rsid w:val="007F41BA"/>
    <w:rsid w:val="00800AE7"/>
    <w:rsid w:val="00802ACC"/>
    <w:rsid w:val="0081002A"/>
    <w:rsid w:val="00813A01"/>
    <w:rsid w:val="0081497E"/>
    <w:rsid w:val="00822C28"/>
    <w:rsid w:val="00846D7C"/>
    <w:rsid w:val="008614A5"/>
    <w:rsid w:val="00864E2B"/>
    <w:rsid w:val="00865481"/>
    <w:rsid w:val="00867B9C"/>
    <w:rsid w:val="00877E25"/>
    <w:rsid w:val="008818EF"/>
    <w:rsid w:val="0088493B"/>
    <w:rsid w:val="00884D60"/>
    <w:rsid w:val="00884FE8"/>
    <w:rsid w:val="0088793E"/>
    <w:rsid w:val="00891D15"/>
    <w:rsid w:val="00892533"/>
    <w:rsid w:val="008B6C53"/>
    <w:rsid w:val="008D18E9"/>
    <w:rsid w:val="008D44D9"/>
    <w:rsid w:val="008E1106"/>
    <w:rsid w:val="008F2365"/>
    <w:rsid w:val="00900F9F"/>
    <w:rsid w:val="00902880"/>
    <w:rsid w:val="00903001"/>
    <w:rsid w:val="00924DA7"/>
    <w:rsid w:val="009366B1"/>
    <w:rsid w:val="00943471"/>
    <w:rsid w:val="00944955"/>
    <w:rsid w:val="00955063"/>
    <w:rsid w:val="00955DF7"/>
    <w:rsid w:val="0096089B"/>
    <w:rsid w:val="009657AB"/>
    <w:rsid w:val="00966617"/>
    <w:rsid w:val="009775C2"/>
    <w:rsid w:val="0098018C"/>
    <w:rsid w:val="009A5562"/>
    <w:rsid w:val="009B3E62"/>
    <w:rsid w:val="009C1F0A"/>
    <w:rsid w:val="009C4E64"/>
    <w:rsid w:val="009E03B5"/>
    <w:rsid w:val="00A03B44"/>
    <w:rsid w:val="00A110AE"/>
    <w:rsid w:val="00A224F8"/>
    <w:rsid w:val="00A24F0C"/>
    <w:rsid w:val="00A26673"/>
    <w:rsid w:val="00A2697E"/>
    <w:rsid w:val="00A354F2"/>
    <w:rsid w:val="00A40E80"/>
    <w:rsid w:val="00A51F81"/>
    <w:rsid w:val="00A55343"/>
    <w:rsid w:val="00A57A34"/>
    <w:rsid w:val="00A916A0"/>
    <w:rsid w:val="00A916C0"/>
    <w:rsid w:val="00A941DD"/>
    <w:rsid w:val="00A960EA"/>
    <w:rsid w:val="00AB5E1B"/>
    <w:rsid w:val="00AC12BB"/>
    <w:rsid w:val="00AF7F2E"/>
    <w:rsid w:val="00B05A7C"/>
    <w:rsid w:val="00B1414D"/>
    <w:rsid w:val="00B31A4D"/>
    <w:rsid w:val="00B424A7"/>
    <w:rsid w:val="00B43928"/>
    <w:rsid w:val="00B463FA"/>
    <w:rsid w:val="00B472C2"/>
    <w:rsid w:val="00B476A4"/>
    <w:rsid w:val="00B47B62"/>
    <w:rsid w:val="00B47F8B"/>
    <w:rsid w:val="00B56381"/>
    <w:rsid w:val="00B6074C"/>
    <w:rsid w:val="00B62D56"/>
    <w:rsid w:val="00B67836"/>
    <w:rsid w:val="00B7625F"/>
    <w:rsid w:val="00B7773A"/>
    <w:rsid w:val="00B82AEB"/>
    <w:rsid w:val="00B9035C"/>
    <w:rsid w:val="00B91225"/>
    <w:rsid w:val="00BB0981"/>
    <w:rsid w:val="00BB4D8D"/>
    <w:rsid w:val="00BB66D9"/>
    <w:rsid w:val="00BC2419"/>
    <w:rsid w:val="00BC3240"/>
    <w:rsid w:val="00BC61AD"/>
    <w:rsid w:val="00BC7CC6"/>
    <w:rsid w:val="00BE216C"/>
    <w:rsid w:val="00BF6A04"/>
    <w:rsid w:val="00C05AE6"/>
    <w:rsid w:val="00C062E3"/>
    <w:rsid w:val="00C07E02"/>
    <w:rsid w:val="00C15540"/>
    <w:rsid w:val="00C33EA9"/>
    <w:rsid w:val="00C462EE"/>
    <w:rsid w:val="00C518D9"/>
    <w:rsid w:val="00C53697"/>
    <w:rsid w:val="00C717A2"/>
    <w:rsid w:val="00C777EC"/>
    <w:rsid w:val="00C81584"/>
    <w:rsid w:val="00C932E4"/>
    <w:rsid w:val="00C9773E"/>
    <w:rsid w:val="00CA2284"/>
    <w:rsid w:val="00CB5FE4"/>
    <w:rsid w:val="00CC001F"/>
    <w:rsid w:val="00CC2F07"/>
    <w:rsid w:val="00CC59BD"/>
    <w:rsid w:val="00CD397A"/>
    <w:rsid w:val="00CD547F"/>
    <w:rsid w:val="00CF0B42"/>
    <w:rsid w:val="00CF1A2E"/>
    <w:rsid w:val="00CF4834"/>
    <w:rsid w:val="00D20BCE"/>
    <w:rsid w:val="00D27135"/>
    <w:rsid w:val="00D27680"/>
    <w:rsid w:val="00D30143"/>
    <w:rsid w:val="00D31275"/>
    <w:rsid w:val="00D41E0D"/>
    <w:rsid w:val="00D42AF0"/>
    <w:rsid w:val="00D45A3F"/>
    <w:rsid w:val="00D5618F"/>
    <w:rsid w:val="00D57E0F"/>
    <w:rsid w:val="00D63B92"/>
    <w:rsid w:val="00D72D76"/>
    <w:rsid w:val="00D76556"/>
    <w:rsid w:val="00D83E03"/>
    <w:rsid w:val="00D87E52"/>
    <w:rsid w:val="00D91B90"/>
    <w:rsid w:val="00D94871"/>
    <w:rsid w:val="00D967AE"/>
    <w:rsid w:val="00DA0884"/>
    <w:rsid w:val="00DA4AB2"/>
    <w:rsid w:val="00DA6FC6"/>
    <w:rsid w:val="00DA7D52"/>
    <w:rsid w:val="00DB4F06"/>
    <w:rsid w:val="00DD1A67"/>
    <w:rsid w:val="00DE31BC"/>
    <w:rsid w:val="00DF1DCF"/>
    <w:rsid w:val="00DF437F"/>
    <w:rsid w:val="00E235B6"/>
    <w:rsid w:val="00E30734"/>
    <w:rsid w:val="00E37A28"/>
    <w:rsid w:val="00E41EDC"/>
    <w:rsid w:val="00E64F84"/>
    <w:rsid w:val="00E65F47"/>
    <w:rsid w:val="00E6786B"/>
    <w:rsid w:val="00E719CD"/>
    <w:rsid w:val="00E72049"/>
    <w:rsid w:val="00E723C2"/>
    <w:rsid w:val="00E7469C"/>
    <w:rsid w:val="00E746A4"/>
    <w:rsid w:val="00E75419"/>
    <w:rsid w:val="00E9458F"/>
    <w:rsid w:val="00EA0D16"/>
    <w:rsid w:val="00EA429B"/>
    <w:rsid w:val="00EA4ACC"/>
    <w:rsid w:val="00EA502D"/>
    <w:rsid w:val="00EB10E0"/>
    <w:rsid w:val="00EB29CD"/>
    <w:rsid w:val="00EB690F"/>
    <w:rsid w:val="00EC0B2C"/>
    <w:rsid w:val="00EC6218"/>
    <w:rsid w:val="00ED578C"/>
    <w:rsid w:val="00EE03E9"/>
    <w:rsid w:val="00EE55D1"/>
    <w:rsid w:val="00F00F8C"/>
    <w:rsid w:val="00F0418B"/>
    <w:rsid w:val="00F1630B"/>
    <w:rsid w:val="00F16E19"/>
    <w:rsid w:val="00F30D69"/>
    <w:rsid w:val="00F3128F"/>
    <w:rsid w:val="00F3316D"/>
    <w:rsid w:val="00F453D5"/>
    <w:rsid w:val="00F4656F"/>
    <w:rsid w:val="00F469D9"/>
    <w:rsid w:val="00F46AAA"/>
    <w:rsid w:val="00F51E4D"/>
    <w:rsid w:val="00F5346D"/>
    <w:rsid w:val="00F6160F"/>
    <w:rsid w:val="00F729DC"/>
    <w:rsid w:val="00F81AD4"/>
    <w:rsid w:val="00F9028D"/>
    <w:rsid w:val="00F91961"/>
    <w:rsid w:val="00F941B2"/>
    <w:rsid w:val="00F95779"/>
    <w:rsid w:val="00FA2F51"/>
    <w:rsid w:val="00FA368E"/>
    <w:rsid w:val="00FA36E0"/>
    <w:rsid w:val="00FA5717"/>
    <w:rsid w:val="00FB6558"/>
    <w:rsid w:val="00FC0F9A"/>
    <w:rsid w:val="00FC5C9F"/>
    <w:rsid w:val="00FC636A"/>
    <w:rsid w:val="00FD4BAA"/>
    <w:rsid w:val="00FD73A1"/>
    <w:rsid w:val="00FF0E0B"/>
    <w:rsid w:val="00FF380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7ADB"/>
  <w15:docId w15:val="{E7F71061-2421-4C4A-8E2F-68E6F93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6C"/>
    <w:pPr>
      <w:ind w:left="720"/>
      <w:contextualSpacing/>
    </w:pPr>
  </w:style>
  <w:style w:type="table" w:styleId="a4">
    <w:name w:val="Table Grid"/>
    <w:basedOn w:val="a1"/>
    <w:uiPriority w:val="59"/>
    <w:rsid w:val="00EA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1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1BC"/>
    <w:rPr>
      <w:rFonts w:ascii="Calibri" w:eastAsia="Calibri" w:hAnsi="Calibri" w:cs="Times New Roman"/>
    </w:rPr>
  </w:style>
  <w:style w:type="paragraph" w:customStyle="1" w:styleId="ConsPlusNormal">
    <w:name w:val="ConsPlusNormal"/>
    <w:rsid w:val="00B47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6160F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B607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60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B795C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261</cp:revision>
  <cp:lastPrinted>2019-03-19T06:16:00Z</cp:lastPrinted>
  <dcterms:created xsi:type="dcterms:W3CDTF">2016-05-26T10:46:00Z</dcterms:created>
  <dcterms:modified xsi:type="dcterms:W3CDTF">2021-03-11T11:18:00Z</dcterms:modified>
</cp:coreProperties>
</file>