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51034D">
        <w:rPr>
          <w:rFonts w:ascii="Times New Roman" w:hAnsi="Times New Roman" w:cs="Times New Roman"/>
          <w:b/>
          <w:sz w:val="28"/>
          <w:szCs w:val="28"/>
        </w:rPr>
        <w:t>6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51034D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4D"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81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.05.2016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DB4E34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пункт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7 </w:t>
      </w:r>
      <w:r w:rsidR="000523AA">
        <w:rPr>
          <w:rFonts w:ascii="Times New Roman" w:hAnsi="Times New Roman" w:cs="Times New Roman"/>
          <w:sz w:val="28"/>
          <w:szCs w:val="28"/>
        </w:rPr>
        <w:t>решения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0523AA">
        <w:rPr>
          <w:rFonts w:ascii="Times New Roman" w:hAnsi="Times New Roman" w:cs="Times New Roman"/>
          <w:sz w:val="28"/>
          <w:szCs w:val="28"/>
        </w:rPr>
        <w:t>2</w:t>
      </w:r>
      <w:r w:rsidR="00DB4E34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4E34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4E34">
        <w:rPr>
          <w:rFonts w:ascii="Times New Roman" w:hAnsi="Times New Roman" w:cs="Times New Roman"/>
          <w:sz w:val="28"/>
          <w:szCs w:val="28"/>
        </w:rPr>
        <w:t>155</w:t>
      </w:r>
      <w:r w:rsidR="000523AA">
        <w:rPr>
          <w:rFonts w:ascii="Times New Roman" w:hAnsi="Times New Roman" w:cs="Times New Roman"/>
          <w:sz w:val="28"/>
          <w:szCs w:val="28"/>
        </w:rPr>
        <w:t>-6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на 201</w:t>
      </w:r>
      <w:r w:rsidR="00DB4E34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0523A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февраля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0523AA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3A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утвержденным решением Коллегии Контрольно-счетной палаты </w:t>
      </w:r>
      <w:r w:rsidR="00F15158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F15158">
        <w:rPr>
          <w:rFonts w:ascii="Times New Roman" w:hAnsi="Times New Roman" w:cs="Times New Roman"/>
          <w:sz w:val="28"/>
          <w:szCs w:val="28"/>
        </w:rPr>
        <w:t>05 сентября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F15158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5158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-рк,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9E70FC">
        <w:rPr>
          <w:rFonts w:ascii="Times New Roman" w:hAnsi="Times New Roman" w:cs="Times New Roman"/>
          <w:sz w:val="28"/>
          <w:szCs w:val="28"/>
        </w:rPr>
        <w:t xml:space="preserve">.1.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6257C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9E70FC">
        <w:rPr>
          <w:rFonts w:ascii="Times New Roman" w:hAnsi="Times New Roman" w:cs="Times New Roman"/>
          <w:sz w:val="28"/>
          <w:szCs w:val="28"/>
        </w:rPr>
        <w:t>3</w:t>
      </w:r>
      <w:r w:rsidR="0016257C">
        <w:rPr>
          <w:rFonts w:ascii="Times New Roman" w:hAnsi="Times New Roman" w:cs="Times New Roman"/>
          <w:sz w:val="28"/>
          <w:szCs w:val="28"/>
        </w:rPr>
        <w:t>1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16257C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57C">
        <w:rPr>
          <w:rFonts w:ascii="Times New Roman" w:hAnsi="Times New Roman" w:cs="Times New Roman"/>
          <w:sz w:val="28"/>
          <w:szCs w:val="28"/>
        </w:rPr>
        <w:t>47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56660">
        <w:rPr>
          <w:rFonts w:ascii="Times New Roman" w:hAnsi="Times New Roman" w:cs="Times New Roman"/>
          <w:sz w:val="28"/>
          <w:szCs w:val="28"/>
        </w:rPr>
        <w:t>49080,2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6660">
        <w:rPr>
          <w:rFonts w:ascii="Times New Roman" w:hAnsi="Times New Roman" w:cs="Times New Roman"/>
          <w:sz w:val="28"/>
          <w:szCs w:val="28"/>
        </w:rPr>
        <w:t>19,6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2015 года исполнение составило 78,8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6E6205">
        <w:rPr>
          <w:rFonts w:ascii="Times New Roman" w:hAnsi="Times New Roman" w:cs="Times New Roman"/>
          <w:sz w:val="28"/>
          <w:szCs w:val="28"/>
        </w:rPr>
        <w:t>50535,3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6205">
        <w:rPr>
          <w:rFonts w:ascii="Times New Roman" w:hAnsi="Times New Roman" w:cs="Times New Roman"/>
          <w:sz w:val="28"/>
          <w:szCs w:val="28"/>
        </w:rPr>
        <w:t>21,7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6205">
        <w:rPr>
          <w:rFonts w:ascii="Times New Roman" w:hAnsi="Times New Roman" w:cs="Times New Roman"/>
          <w:sz w:val="28"/>
          <w:szCs w:val="28"/>
        </w:rPr>
        <w:t>1455,1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«Дубровский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E6205">
        <w:rPr>
          <w:rFonts w:ascii="Times New Roman" w:hAnsi="Times New Roman" w:cs="Times New Roman"/>
          <w:sz w:val="28"/>
          <w:szCs w:val="28"/>
        </w:rPr>
        <w:t>49080,2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E6205">
        <w:rPr>
          <w:rFonts w:ascii="Times New Roman" w:hAnsi="Times New Roman" w:cs="Times New Roman"/>
          <w:sz w:val="28"/>
          <w:szCs w:val="28"/>
        </w:rPr>
        <w:t>19,6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с соответствующим уровнем прошлого года доходы </w:t>
      </w:r>
      <w:r w:rsidR="006E6205"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E6205">
        <w:rPr>
          <w:rFonts w:ascii="Times New Roman" w:hAnsi="Times New Roman" w:cs="Times New Roman"/>
          <w:sz w:val="28"/>
          <w:szCs w:val="28"/>
        </w:rPr>
        <w:t>13619,1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6E6205">
        <w:rPr>
          <w:rFonts w:ascii="Times New Roman" w:hAnsi="Times New Roman" w:cs="Times New Roman"/>
          <w:sz w:val="28"/>
          <w:szCs w:val="28"/>
        </w:rPr>
        <w:t xml:space="preserve">21,2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6E6205">
        <w:rPr>
          <w:rFonts w:ascii="Times New Roman" w:hAnsi="Times New Roman" w:cs="Times New Roman"/>
          <w:sz w:val="28"/>
          <w:szCs w:val="28"/>
        </w:rPr>
        <w:t>28,8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6E6205">
        <w:rPr>
          <w:rFonts w:ascii="Times New Roman" w:hAnsi="Times New Roman" w:cs="Times New Roman"/>
          <w:sz w:val="28"/>
          <w:szCs w:val="28"/>
        </w:rPr>
        <w:t>5,8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процентного пункта. На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долю безвозмездных поступлений приходится </w:t>
      </w:r>
      <w:r w:rsidR="006E6205">
        <w:rPr>
          <w:rFonts w:ascii="Times New Roman" w:hAnsi="Times New Roman" w:cs="Times New Roman"/>
          <w:sz w:val="28"/>
          <w:szCs w:val="28"/>
        </w:rPr>
        <w:t>71,2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6E6205">
        <w:rPr>
          <w:rFonts w:ascii="Times New Roman" w:hAnsi="Times New Roman" w:cs="Times New Roman"/>
          <w:sz w:val="28"/>
          <w:szCs w:val="28"/>
        </w:rPr>
        <w:t>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205"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E6205">
        <w:rPr>
          <w:rFonts w:ascii="Times New Roman" w:hAnsi="Times New Roman" w:cs="Times New Roman"/>
          <w:sz w:val="28"/>
          <w:szCs w:val="28"/>
        </w:rPr>
        <w:t>2,0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6E6205">
        <w:rPr>
          <w:rFonts w:ascii="Times New Roman" w:hAnsi="Times New Roman" w:cs="Times New Roman"/>
          <w:sz w:val="28"/>
          <w:szCs w:val="28"/>
        </w:rPr>
        <w:t>снизился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E6205">
        <w:rPr>
          <w:rFonts w:ascii="Times New Roman" w:hAnsi="Times New Roman" w:cs="Times New Roman"/>
          <w:sz w:val="28"/>
          <w:szCs w:val="28"/>
        </w:rPr>
        <w:t>27,6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6E6205">
        <w:rPr>
          <w:rFonts w:ascii="Times New Roman" w:hAnsi="Times New Roman" w:cs="Times New Roman"/>
          <w:sz w:val="28"/>
          <w:szCs w:val="28"/>
        </w:rPr>
        <w:t>14141,4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6205">
        <w:rPr>
          <w:rFonts w:ascii="Times New Roman" w:hAnsi="Times New Roman" w:cs="Times New Roman"/>
          <w:sz w:val="28"/>
          <w:szCs w:val="28"/>
        </w:rPr>
        <w:t>19,4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апреля 201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«Дубровский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9</w:t>
      </w:r>
      <w:r w:rsidR="00C27438">
        <w:rPr>
          <w:rFonts w:ascii="Times New Roman" w:hAnsi="Times New Roman" w:cs="Times New Roman"/>
          <w:sz w:val="28"/>
          <w:szCs w:val="28"/>
        </w:rPr>
        <w:t>1,0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C27438">
        <w:rPr>
          <w:rFonts w:ascii="Times New Roman" w:hAnsi="Times New Roman" w:cs="Times New Roman"/>
          <w:sz w:val="28"/>
          <w:szCs w:val="28"/>
        </w:rPr>
        <w:t>14141,4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к уровню 2015 года 106,4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Основными налогами, которыми сформирована доходная часть бюджета в I квартале 201</w:t>
      </w:r>
      <w:r w:rsidR="00C27438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6A106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C27438">
        <w:rPr>
          <w:rFonts w:ascii="Times New Roman" w:hAnsi="Times New Roman" w:cs="Times New Roman"/>
          <w:sz w:val="28"/>
          <w:szCs w:val="28"/>
        </w:rPr>
        <w:t>10280,0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27438">
        <w:rPr>
          <w:rFonts w:ascii="Times New Roman" w:hAnsi="Times New Roman" w:cs="Times New Roman"/>
          <w:sz w:val="28"/>
          <w:szCs w:val="28"/>
        </w:rPr>
        <w:t>17,8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C27438">
        <w:rPr>
          <w:rFonts w:ascii="Times New Roman" w:hAnsi="Times New Roman" w:cs="Times New Roman"/>
          <w:sz w:val="28"/>
          <w:szCs w:val="28"/>
        </w:rPr>
        <w:t>79,9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 w:rsidR="00C27438">
        <w:rPr>
          <w:rFonts w:ascii="Times New Roman" w:hAnsi="Times New Roman" w:cs="Times New Roman"/>
          <w:sz w:val="28"/>
          <w:szCs w:val="28"/>
        </w:rPr>
        <w:t>3,1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C27438">
        <w:rPr>
          <w:rFonts w:ascii="Times New Roman" w:hAnsi="Times New Roman" w:cs="Times New Roman"/>
          <w:sz w:val="28"/>
          <w:szCs w:val="28"/>
        </w:rPr>
        <w:t>5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C27438">
        <w:rPr>
          <w:rFonts w:ascii="Times New Roman" w:hAnsi="Times New Roman" w:cs="Times New Roman"/>
          <w:sz w:val="28"/>
          <w:szCs w:val="28"/>
        </w:rPr>
        <w:t>93,2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</w:t>
      </w:r>
      <w:r w:rsidR="00C27438">
        <w:rPr>
          <w:rFonts w:ascii="Times New Roman" w:hAnsi="Times New Roman" w:cs="Times New Roman"/>
          <w:sz w:val="28"/>
          <w:szCs w:val="28"/>
        </w:rPr>
        <w:t>снижение</w:t>
      </w:r>
      <w:r w:rsidR="00710C95">
        <w:rPr>
          <w:rFonts w:ascii="Times New Roman" w:hAnsi="Times New Roman" w:cs="Times New Roman"/>
          <w:sz w:val="28"/>
          <w:szCs w:val="28"/>
        </w:rPr>
        <w:t xml:space="preserve"> на 751,9 тыс. рублей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поступлений по налогу на доходы физических лиц сложился по крупн</w:t>
      </w:r>
      <w:r w:rsidR="00DB731F">
        <w:rPr>
          <w:rFonts w:ascii="Times New Roman" w:hAnsi="Times New Roman" w:cs="Times New Roman"/>
          <w:sz w:val="28"/>
          <w:szCs w:val="28"/>
        </w:rPr>
        <w:t>ому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DB731F">
        <w:rPr>
          <w:rFonts w:ascii="Times New Roman" w:hAnsi="Times New Roman" w:cs="Times New Roman"/>
          <w:sz w:val="28"/>
          <w:szCs w:val="28"/>
        </w:rPr>
        <w:t>у</w:t>
      </w:r>
      <w:r w:rsidR="00605C8F">
        <w:rPr>
          <w:rFonts w:ascii="Times New Roman" w:hAnsi="Times New Roman" w:cs="Times New Roman"/>
          <w:sz w:val="28"/>
          <w:szCs w:val="28"/>
        </w:rPr>
        <w:t xml:space="preserve"> – воинской части</w:t>
      </w:r>
      <w:r w:rsidR="00710C95">
        <w:rPr>
          <w:rFonts w:ascii="Times New Roman" w:hAnsi="Times New Roman" w:cs="Times New Roman"/>
          <w:sz w:val="28"/>
          <w:szCs w:val="28"/>
        </w:rPr>
        <w:t>. Также</w:t>
      </w:r>
      <w:r w:rsidR="00605C8F">
        <w:rPr>
          <w:rFonts w:ascii="Times New Roman" w:hAnsi="Times New Roman" w:cs="Times New Roman"/>
          <w:sz w:val="28"/>
          <w:szCs w:val="28"/>
        </w:rPr>
        <w:t xml:space="preserve">  неплательщиками  являются ООО «</w:t>
      </w:r>
      <w:proofErr w:type="spellStart"/>
      <w:r w:rsidR="00605C8F">
        <w:rPr>
          <w:rFonts w:ascii="Times New Roman" w:hAnsi="Times New Roman" w:cs="Times New Roman"/>
          <w:sz w:val="28"/>
          <w:szCs w:val="28"/>
        </w:rPr>
        <w:t>АТП-Дубровка</w:t>
      </w:r>
      <w:proofErr w:type="spellEnd"/>
      <w:r w:rsidR="00605C8F">
        <w:rPr>
          <w:rFonts w:ascii="Times New Roman" w:hAnsi="Times New Roman" w:cs="Times New Roman"/>
          <w:sz w:val="28"/>
          <w:szCs w:val="28"/>
        </w:rPr>
        <w:t xml:space="preserve">» - 1 308,тыс. рублей, СПК </w:t>
      </w:r>
      <w:proofErr w:type="spellStart"/>
      <w:proofErr w:type="gramStart"/>
      <w:r w:rsidR="00605C8F">
        <w:rPr>
          <w:rFonts w:ascii="Times New Roman" w:hAnsi="Times New Roman" w:cs="Times New Roman"/>
          <w:sz w:val="28"/>
          <w:szCs w:val="28"/>
        </w:rPr>
        <w:t>Мин-Воды</w:t>
      </w:r>
      <w:proofErr w:type="spellEnd"/>
      <w:proofErr w:type="gramEnd"/>
      <w:r w:rsidR="00605C8F">
        <w:rPr>
          <w:rFonts w:ascii="Times New Roman" w:hAnsi="Times New Roman" w:cs="Times New Roman"/>
          <w:sz w:val="28"/>
          <w:szCs w:val="28"/>
        </w:rPr>
        <w:t xml:space="preserve"> – </w:t>
      </w:r>
      <w:r w:rsidR="00710C95">
        <w:rPr>
          <w:rFonts w:ascii="Times New Roman" w:hAnsi="Times New Roman" w:cs="Times New Roman"/>
          <w:sz w:val="28"/>
          <w:szCs w:val="28"/>
        </w:rPr>
        <w:t>1163</w:t>
      </w:r>
      <w:r w:rsidR="00605C8F">
        <w:rPr>
          <w:rFonts w:ascii="Times New Roman" w:hAnsi="Times New Roman" w:cs="Times New Roman"/>
          <w:sz w:val="28"/>
          <w:szCs w:val="28"/>
        </w:rPr>
        <w:t xml:space="preserve">,0 тыс. рублей, МУП Дубровский районный  водоканал – </w:t>
      </w:r>
      <w:r w:rsidR="00710C95">
        <w:rPr>
          <w:rFonts w:ascii="Times New Roman" w:hAnsi="Times New Roman" w:cs="Times New Roman"/>
          <w:sz w:val="28"/>
          <w:szCs w:val="28"/>
        </w:rPr>
        <w:t>1037</w:t>
      </w:r>
      <w:r w:rsidR="00605C8F">
        <w:rPr>
          <w:rFonts w:ascii="Times New Roman" w:hAnsi="Times New Roman" w:cs="Times New Roman"/>
          <w:sz w:val="28"/>
          <w:szCs w:val="28"/>
        </w:rPr>
        <w:t>,0 тыс. рублей.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lastRenderedPageBreak/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</w:t>
      </w:r>
      <w:r w:rsidR="00B867FE">
        <w:rPr>
          <w:rFonts w:ascii="Times New Roman" w:hAnsi="Times New Roman" w:cs="Times New Roman"/>
          <w:sz w:val="28"/>
          <w:szCs w:val="28"/>
        </w:rPr>
        <w:t>0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>1363,4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>
        <w:rPr>
          <w:rFonts w:ascii="Times New Roman" w:hAnsi="Times New Roman" w:cs="Times New Roman"/>
          <w:sz w:val="28"/>
          <w:szCs w:val="28"/>
        </w:rPr>
        <w:t>10,</w:t>
      </w:r>
      <w:r w:rsidR="00B867FE">
        <w:rPr>
          <w:rFonts w:ascii="Times New Roman" w:hAnsi="Times New Roman" w:cs="Times New Roman"/>
          <w:sz w:val="28"/>
          <w:szCs w:val="28"/>
        </w:rPr>
        <w:t>6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B867FE">
        <w:rPr>
          <w:rFonts w:ascii="Times New Roman" w:hAnsi="Times New Roman" w:cs="Times New Roman"/>
          <w:sz w:val="28"/>
          <w:szCs w:val="28"/>
        </w:rPr>
        <w:t>26,0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>, за счет открытия новых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0C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B867FE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B867FE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B867FE">
        <w:rPr>
          <w:rFonts w:ascii="Times New Roman" w:hAnsi="Times New Roman" w:cs="Times New Roman"/>
          <w:sz w:val="28"/>
          <w:szCs w:val="28"/>
        </w:rPr>
        <w:t>793,0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7FE">
        <w:rPr>
          <w:rFonts w:ascii="Times New Roman" w:hAnsi="Times New Roman" w:cs="Times New Roman"/>
          <w:sz w:val="28"/>
          <w:szCs w:val="28"/>
        </w:rPr>
        <w:t>, темп роста к уровню 2015 года 108,6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B867FE">
        <w:rPr>
          <w:rFonts w:ascii="Times New Roman" w:hAnsi="Times New Roman" w:cs="Times New Roman"/>
          <w:sz w:val="28"/>
          <w:szCs w:val="28"/>
        </w:rPr>
        <w:t>1,3</w:t>
      </w:r>
      <w:r w:rsidR="00F260FE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>–</w:t>
      </w:r>
      <w:r w:rsidR="00F260FE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>2,0</w:t>
      </w:r>
      <w:r w:rsidR="00F260F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«Дубровский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0814E6">
        <w:rPr>
          <w:rFonts w:ascii="Times New Roman" w:hAnsi="Times New Roman" w:cs="Times New Roman"/>
          <w:sz w:val="28"/>
          <w:szCs w:val="28"/>
        </w:rPr>
        <w:t>12</w:t>
      </w:r>
      <w:r w:rsidR="000814E6" w:rsidRPr="00AF481F">
        <w:rPr>
          <w:rFonts w:ascii="Times New Roman" w:hAnsi="Times New Roman" w:cs="Times New Roman"/>
          <w:sz w:val="28"/>
          <w:szCs w:val="28"/>
        </w:rPr>
        <w:t>72</w:t>
      </w:r>
      <w:r w:rsidR="000814E6">
        <w:rPr>
          <w:rFonts w:ascii="Times New Roman" w:hAnsi="Times New Roman" w:cs="Times New Roman"/>
          <w:sz w:val="28"/>
          <w:szCs w:val="28"/>
        </w:rPr>
        <w:t>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814E6">
        <w:rPr>
          <w:rFonts w:ascii="Times New Roman" w:hAnsi="Times New Roman" w:cs="Times New Roman"/>
          <w:sz w:val="28"/>
          <w:szCs w:val="28"/>
        </w:rPr>
        <w:t>22,1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0814E6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0814E6">
        <w:rPr>
          <w:rFonts w:ascii="Times New Roman" w:hAnsi="Times New Roman" w:cs="Times New Roman"/>
          <w:sz w:val="28"/>
          <w:szCs w:val="28"/>
        </w:rPr>
        <w:t>110,5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0814E6">
        <w:rPr>
          <w:rFonts w:ascii="Times New Roman" w:hAnsi="Times New Roman" w:cs="Times New Roman"/>
          <w:sz w:val="28"/>
          <w:szCs w:val="28"/>
        </w:rPr>
        <w:t>71,8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0814E6">
        <w:rPr>
          <w:rFonts w:ascii="Times New Roman" w:hAnsi="Times New Roman" w:cs="Times New Roman"/>
          <w:sz w:val="28"/>
          <w:szCs w:val="28"/>
        </w:rPr>
        <w:t>3</w:t>
      </w:r>
      <w:r w:rsidRPr="00F959CF">
        <w:rPr>
          <w:rFonts w:ascii="Times New Roman" w:hAnsi="Times New Roman" w:cs="Times New Roman"/>
          <w:sz w:val="28"/>
          <w:szCs w:val="28"/>
        </w:rPr>
        <w:t xml:space="preserve">,4% объема неналоговых доходов. Поступления сложились в сумме </w:t>
      </w:r>
      <w:r w:rsidR="000814E6">
        <w:rPr>
          <w:rFonts w:ascii="Times New Roman" w:hAnsi="Times New Roman" w:cs="Times New Roman"/>
          <w:sz w:val="28"/>
          <w:szCs w:val="28"/>
        </w:rPr>
        <w:t>43,0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14E6">
        <w:rPr>
          <w:rFonts w:ascii="Times New Roman" w:hAnsi="Times New Roman" w:cs="Times New Roman"/>
          <w:sz w:val="28"/>
          <w:szCs w:val="28"/>
        </w:rPr>
        <w:t>12,5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0814E6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814E6">
        <w:rPr>
          <w:rFonts w:ascii="Times New Roman" w:hAnsi="Times New Roman" w:cs="Times New Roman"/>
          <w:sz w:val="28"/>
          <w:szCs w:val="28"/>
        </w:rPr>
        <w:t>50,8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E05A0" w:rsidRPr="00F959CF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1B7AA9">
        <w:rPr>
          <w:rFonts w:ascii="Times New Roman" w:hAnsi="Times New Roman" w:cs="Times New Roman"/>
          <w:sz w:val="28"/>
          <w:szCs w:val="28"/>
        </w:rPr>
        <w:t>71,8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1B7AA9">
        <w:rPr>
          <w:rFonts w:ascii="Times New Roman" w:hAnsi="Times New Roman" w:cs="Times New Roman"/>
          <w:sz w:val="28"/>
          <w:szCs w:val="28"/>
        </w:rPr>
        <w:t>906,0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7AA9">
        <w:rPr>
          <w:rFonts w:ascii="Times New Roman" w:hAnsi="Times New Roman" w:cs="Times New Roman"/>
          <w:sz w:val="28"/>
          <w:szCs w:val="28"/>
        </w:rPr>
        <w:t>27,4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22C65">
        <w:rPr>
          <w:rFonts w:ascii="Times New Roman" w:hAnsi="Times New Roman" w:cs="Times New Roman"/>
          <w:sz w:val="28"/>
          <w:szCs w:val="28"/>
        </w:rPr>
        <w:t>205,5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1B7AA9">
        <w:rPr>
          <w:rFonts w:ascii="Times New Roman" w:hAnsi="Times New Roman" w:cs="Times New Roman"/>
          <w:sz w:val="28"/>
          <w:szCs w:val="28"/>
        </w:rPr>
        <w:t>543,5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7AA9">
        <w:rPr>
          <w:rFonts w:ascii="Times New Roman" w:hAnsi="Times New Roman" w:cs="Times New Roman"/>
          <w:sz w:val="28"/>
          <w:szCs w:val="28"/>
        </w:rPr>
        <w:t>в 2,6 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  <w:r w:rsidR="009E05A0">
        <w:rPr>
          <w:rFonts w:ascii="Times New Roman" w:hAnsi="Times New Roman" w:cs="Times New Roman"/>
          <w:sz w:val="28"/>
          <w:szCs w:val="28"/>
        </w:rPr>
        <w:t>С</w:t>
      </w:r>
      <w:r w:rsidR="009E05A0" w:rsidRPr="00F959CF">
        <w:rPr>
          <w:rFonts w:ascii="Times New Roman" w:hAnsi="Times New Roman" w:cs="Times New Roman"/>
          <w:sz w:val="28"/>
          <w:szCs w:val="28"/>
        </w:rPr>
        <w:t>нижение обусловлено досрочным расторжением договоров аренды, а также несвоевременным внесением в бюджет арендаторами платы за аренду недвижимого имущества.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1B7AA9">
        <w:rPr>
          <w:rFonts w:ascii="Times New Roman" w:hAnsi="Times New Roman" w:cs="Times New Roman"/>
          <w:sz w:val="28"/>
          <w:szCs w:val="28"/>
        </w:rPr>
        <w:t>157,0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7AA9">
        <w:rPr>
          <w:rFonts w:ascii="Times New Roman" w:hAnsi="Times New Roman" w:cs="Times New Roman"/>
          <w:sz w:val="28"/>
          <w:szCs w:val="28"/>
        </w:rPr>
        <w:t>73,0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119AF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671A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</w:t>
      </w:r>
      <w:r w:rsidRPr="00305BA5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аналогичному периоду прошлого года поступления </w:t>
      </w:r>
      <w:r w:rsidR="00C5671A">
        <w:rPr>
          <w:rFonts w:ascii="Times New Roman" w:hAnsi="Times New Roman" w:cs="Times New Roman"/>
          <w:sz w:val="28"/>
          <w:szCs w:val="28"/>
        </w:rPr>
        <w:t>снизились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C5671A">
        <w:rPr>
          <w:rFonts w:ascii="Times New Roman" w:hAnsi="Times New Roman" w:cs="Times New Roman"/>
          <w:sz w:val="28"/>
          <w:szCs w:val="28"/>
        </w:rPr>
        <w:t>370,9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C567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C5671A">
        <w:rPr>
          <w:rFonts w:ascii="Times New Roman" w:hAnsi="Times New Roman" w:cs="Times New Roman"/>
          <w:sz w:val="28"/>
          <w:szCs w:val="28"/>
        </w:rPr>
        <w:t>168,0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671A">
        <w:rPr>
          <w:rFonts w:ascii="Times New Roman" w:hAnsi="Times New Roman" w:cs="Times New Roman"/>
          <w:sz w:val="28"/>
          <w:szCs w:val="28"/>
        </w:rPr>
        <w:t>16,6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5A3CED">
        <w:rPr>
          <w:rFonts w:ascii="Times New Roman" w:hAnsi="Times New Roman" w:cs="Times New Roman"/>
          <w:sz w:val="28"/>
          <w:szCs w:val="28"/>
        </w:rPr>
        <w:t>15,5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5A3CED">
        <w:rPr>
          <w:rFonts w:ascii="Times New Roman" w:hAnsi="Times New Roman" w:cs="Times New Roman"/>
          <w:sz w:val="28"/>
          <w:szCs w:val="28"/>
        </w:rPr>
        <w:t>136,0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754E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,6%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E754E6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754E6">
        <w:rPr>
          <w:rFonts w:ascii="Times New Roman" w:hAnsi="Times New Roman" w:cs="Times New Roman"/>
          <w:sz w:val="28"/>
          <w:szCs w:val="28"/>
        </w:rPr>
        <w:t>209,5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771AD">
        <w:rPr>
          <w:rFonts w:ascii="Times New Roman" w:hAnsi="Times New Roman" w:cs="Times New Roman"/>
          <w:sz w:val="28"/>
          <w:szCs w:val="28"/>
        </w:rPr>
        <w:t>34938,8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0EC1">
        <w:rPr>
          <w:rFonts w:ascii="Times New Roman" w:hAnsi="Times New Roman" w:cs="Times New Roman"/>
          <w:sz w:val="28"/>
          <w:szCs w:val="28"/>
        </w:rPr>
        <w:t>22,1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3771AD">
        <w:rPr>
          <w:rFonts w:ascii="Times New Roman" w:hAnsi="Times New Roman" w:cs="Times New Roman"/>
          <w:sz w:val="28"/>
          <w:szCs w:val="28"/>
        </w:rPr>
        <w:t>5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771AD">
        <w:rPr>
          <w:rFonts w:ascii="Times New Roman" w:hAnsi="Times New Roman" w:cs="Times New Roman"/>
          <w:sz w:val="28"/>
          <w:szCs w:val="28"/>
        </w:rPr>
        <w:t>снизился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3771AD">
        <w:rPr>
          <w:rFonts w:ascii="Times New Roman" w:hAnsi="Times New Roman" w:cs="Times New Roman"/>
          <w:sz w:val="28"/>
          <w:szCs w:val="28"/>
        </w:rPr>
        <w:t>27,6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3771AD">
        <w:rPr>
          <w:rFonts w:ascii="Times New Roman" w:hAnsi="Times New Roman" w:cs="Times New Roman"/>
          <w:sz w:val="28"/>
          <w:szCs w:val="28"/>
        </w:rPr>
        <w:t>13324,7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3771AD">
        <w:rPr>
          <w:rFonts w:ascii="Times New Roman" w:hAnsi="Times New Roman" w:cs="Times New Roman"/>
          <w:sz w:val="28"/>
          <w:szCs w:val="28"/>
        </w:rPr>
        <w:t>5297,8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3771AD">
        <w:rPr>
          <w:rFonts w:ascii="Times New Roman" w:hAnsi="Times New Roman" w:cs="Times New Roman"/>
          <w:sz w:val="28"/>
          <w:szCs w:val="28"/>
        </w:rPr>
        <w:t>476,4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3771AD">
        <w:rPr>
          <w:rFonts w:ascii="Times New Roman" w:hAnsi="Times New Roman" w:cs="Times New Roman"/>
          <w:sz w:val="28"/>
          <w:szCs w:val="28"/>
        </w:rPr>
        <w:t>27997,7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3771AD">
        <w:rPr>
          <w:rFonts w:ascii="Times New Roman" w:hAnsi="Times New Roman" w:cs="Times New Roman"/>
          <w:sz w:val="28"/>
          <w:szCs w:val="28"/>
        </w:rPr>
        <w:t>1166,9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71AD">
        <w:rPr>
          <w:rFonts w:ascii="Times New Roman" w:hAnsi="Times New Roman" w:cs="Times New Roman"/>
          <w:sz w:val="28"/>
          <w:szCs w:val="28"/>
        </w:rPr>
        <w:t>5297,8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2279">
        <w:rPr>
          <w:rFonts w:ascii="Times New Roman" w:hAnsi="Times New Roman" w:cs="Times New Roman"/>
          <w:sz w:val="28"/>
          <w:szCs w:val="28"/>
        </w:rPr>
        <w:t>25,0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47,2% к уровню 2015 года</w:t>
      </w:r>
      <w:r w:rsidRPr="00E77E06">
        <w:rPr>
          <w:rFonts w:ascii="Times New Roman" w:hAnsi="Times New Roman" w:cs="Times New Roman"/>
          <w:sz w:val="28"/>
          <w:szCs w:val="28"/>
        </w:rPr>
        <w:t>. За I квартал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дотации на выравнивание бюджетной обеспеченности поступили в объеме </w:t>
      </w:r>
      <w:r w:rsidR="00140C6E">
        <w:rPr>
          <w:rFonts w:ascii="Times New Roman" w:hAnsi="Times New Roman" w:cs="Times New Roman"/>
          <w:sz w:val="28"/>
          <w:szCs w:val="28"/>
        </w:rPr>
        <w:t>2443,0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82279">
        <w:rPr>
          <w:rFonts w:ascii="Times New Roman" w:hAnsi="Times New Roman" w:cs="Times New Roman"/>
          <w:sz w:val="28"/>
          <w:szCs w:val="28"/>
        </w:rPr>
        <w:t>25</w:t>
      </w:r>
      <w:r w:rsidRPr="00E77E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7E06">
        <w:rPr>
          <w:rFonts w:ascii="Times New Roman" w:hAnsi="Times New Roman" w:cs="Times New Roman"/>
          <w:sz w:val="28"/>
          <w:szCs w:val="28"/>
        </w:rPr>
        <w:t xml:space="preserve">% от годового плана. Дотации на поддержку мер по обеспечению сбалансированности бюджетов за отчетный период исполнены в сумме </w:t>
      </w:r>
      <w:r w:rsidR="00A82279">
        <w:rPr>
          <w:rFonts w:ascii="Times New Roman" w:hAnsi="Times New Roman" w:cs="Times New Roman"/>
          <w:sz w:val="28"/>
          <w:szCs w:val="28"/>
        </w:rPr>
        <w:t>2854,8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227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 процента.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квартал 201</w:t>
      </w:r>
      <w:r w:rsidR="00A82279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82279">
        <w:rPr>
          <w:rFonts w:ascii="Times New Roman" w:hAnsi="Times New Roman" w:cs="Times New Roman"/>
          <w:sz w:val="28"/>
          <w:szCs w:val="28"/>
        </w:rPr>
        <w:t>476,4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82279">
        <w:rPr>
          <w:rFonts w:ascii="Times New Roman" w:hAnsi="Times New Roman" w:cs="Times New Roman"/>
          <w:sz w:val="28"/>
          <w:szCs w:val="28"/>
        </w:rPr>
        <w:t>6,1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A82279">
        <w:rPr>
          <w:rFonts w:ascii="Times New Roman" w:hAnsi="Times New Roman" w:cs="Times New Roman"/>
          <w:sz w:val="28"/>
          <w:szCs w:val="28"/>
        </w:rPr>
        <w:t>27997,7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2</w:t>
      </w:r>
      <w:r w:rsidR="00A82279">
        <w:rPr>
          <w:rFonts w:ascii="Times New Roman" w:hAnsi="Times New Roman" w:cs="Times New Roman"/>
          <w:sz w:val="28"/>
          <w:szCs w:val="28"/>
        </w:rPr>
        <w:t>2,5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A82279">
        <w:rPr>
          <w:rFonts w:ascii="Times New Roman" w:hAnsi="Times New Roman" w:cs="Times New Roman"/>
          <w:sz w:val="28"/>
          <w:szCs w:val="28"/>
        </w:rPr>
        <w:t>85,3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A82279">
        <w:rPr>
          <w:rFonts w:ascii="Times New Roman" w:hAnsi="Times New Roman" w:cs="Times New Roman"/>
          <w:sz w:val="28"/>
          <w:szCs w:val="28"/>
        </w:rPr>
        <w:t>5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82279">
        <w:rPr>
          <w:rFonts w:ascii="Times New Roman" w:hAnsi="Times New Roman" w:cs="Times New Roman"/>
          <w:sz w:val="28"/>
          <w:szCs w:val="28"/>
        </w:rPr>
        <w:t>1166,9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25,</w:t>
      </w:r>
      <w:r w:rsidR="00A82279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A82279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A82279">
        <w:rPr>
          <w:rFonts w:ascii="Times New Roman" w:hAnsi="Times New Roman" w:cs="Times New Roman"/>
          <w:sz w:val="28"/>
          <w:szCs w:val="28"/>
        </w:rPr>
        <w:t>5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«Дубровский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2015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344E0A">
        <w:rPr>
          <w:rFonts w:ascii="Times New Roman" w:hAnsi="Times New Roman" w:cs="Times New Roman"/>
          <w:sz w:val="28"/>
          <w:szCs w:val="28"/>
        </w:rPr>
        <w:t>253 646,2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201</w:t>
      </w:r>
      <w:r w:rsidR="00344E0A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44E0A">
        <w:rPr>
          <w:rFonts w:ascii="Times New Roman" w:hAnsi="Times New Roman" w:cs="Times New Roman"/>
          <w:sz w:val="28"/>
          <w:szCs w:val="28"/>
        </w:rPr>
        <w:t>60 338,0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44E0A">
        <w:rPr>
          <w:rFonts w:ascii="Times New Roman" w:hAnsi="Times New Roman" w:cs="Times New Roman"/>
          <w:sz w:val="28"/>
          <w:szCs w:val="28"/>
        </w:rPr>
        <w:t>23,8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увеличились на 4 179,0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5861">
        <w:rPr>
          <w:rFonts w:ascii="Times New Roman" w:hAnsi="Times New Roman" w:cs="Times New Roman"/>
          <w:sz w:val="28"/>
          <w:szCs w:val="28"/>
        </w:rPr>
        <w:t>7,4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E5861">
        <w:rPr>
          <w:rFonts w:ascii="Times New Roman" w:hAnsi="Times New Roman" w:cs="Times New Roman"/>
          <w:sz w:val="28"/>
          <w:szCs w:val="28"/>
        </w:rPr>
        <w:t>7</w:t>
      </w:r>
      <w:r w:rsidR="00465E54">
        <w:rPr>
          <w:rFonts w:ascii="Times New Roman" w:hAnsi="Times New Roman" w:cs="Times New Roman"/>
          <w:sz w:val="28"/>
          <w:szCs w:val="28"/>
        </w:rPr>
        <w:t>2,8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465E5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 исполнены более чем на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(от 27,2% до 38,6%), 4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раздела – в объемах менее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21,2% до 22,9%)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465E5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51153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465E54">
        <w:rPr>
          <w:rFonts w:ascii="Times New Roman" w:hAnsi="Times New Roman" w:cs="Times New Roman"/>
          <w:sz w:val="28"/>
          <w:szCs w:val="28"/>
        </w:rPr>
        <w:t>6</w:t>
      </w:r>
      <w:r w:rsidR="00851153">
        <w:rPr>
          <w:rFonts w:ascii="Times New Roman" w:hAnsi="Times New Roman" w:cs="Times New Roman"/>
          <w:sz w:val="28"/>
          <w:szCs w:val="28"/>
        </w:rPr>
        <w:t>,6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851153">
        <w:rPr>
          <w:rFonts w:ascii="Times New Roman" w:hAnsi="Times New Roman" w:cs="Times New Roman"/>
          <w:sz w:val="28"/>
          <w:szCs w:val="28"/>
        </w:rPr>
        <w:t>1</w:t>
      </w:r>
      <w:r w:rsidR="00465E54">
        <w:rPr>
          <w:rFonts w:ascii="Times New Roman" w:hAnsi="Times New Roman" w:cs="Times New Roman"/>
          <w:sz w:val="28"/>
          <w:szCs w:val="28"/>
        </w:rPr>
        <w:t>4,2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подразделам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подразделам кассовое исполнение отсутствует, из них:</w:t>
      </w:r>
    </w:p>
    <w:p w:rsidR="00714744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1 разделу, подразделу - 01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расходов);</w:t>
      </w:r>
    </w:p>
    <w:p w:rsidR="00454A25" w:rsidRDefault="00454A2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разделу, подразделу 04 01 «Общеэкономические вопросы» утверждено 50,0 тыс. рублей, 04 05 «Сельское хозяйство и рыболовство» утверждено </w:t>
      </w:r>
      <w:r w:rsidR="00A0299A">
        <w:rPr>
          <w:rFonts w:ascii="Times New Roman" w:hAnsi="Times New Roman" w:cs="Times New Roman"/>
          <w:sz w:val="28"/>
          <w:szCs w:val="28"/>
        </w:rPr>
        <w:t>589,9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0556">
        <w:rPr>
          <w:rFonts w:ascii="Times New Roman" w:hAnsi="Times New Roman" w:cs="Times New Roman"/>
          <w:sz w:val="28"/>
          <w:szCs w:val="28"/>
        </w:rPr>
        <w:t>.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39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6" w:type="dxa"/>
          </w:tcPr>
          <w:p w:rsidR="00A03ACA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A03ACA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9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отдельным разделам классификации расходов в отчетном периоде показал следующее.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3080F">
        <w:rPr>
          <w:rFonts w:ascii="Times New Roman" w:hAnsi="Times New Roman" w:cs="Times New Roman"/>
          <w:sz w:val="28"/>
          <w:szCs w:val="28"/>
        </w:rPr>
        <w:t>5342,5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21,</w:t>
      </w:r>
      <w:r w:rsidR="0083080F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10,6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83080F">
        <w:rPr>
          <w:rFonts w:ascii="Times New Roman" w:hAnsi="Times New Roman" w:cs="Times New Roman"/>
          <w:sz w:val="28"/>
          <w:szCs w:val="28"/>
        </w:rPr>
        <w:t>снижение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7,2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00A0C">
        <w:rPr>
          <w:rFonts w:ascii="Times New Roman" w:hAnsi="Times New Roman" w:cs="Times New Roman"/>
          <w:sz w:val="28"/>
          <w:szCs w:val="28"/>
        </w:rPr>
        <w:t>97,</w:t>
      </w:r>
      <w:r w:rsidR="0083080F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0A0C">
        <w:rPr>
          <w:rFonts w:ascii="Times New Roman" w:hAnsi="Times New Roman" w:cs="Times New Roman"/>
          <w:sz w:val="28"/>
          <w:szCs w:val="28"/>
        </w:rPr>
        <w:t>2</w:t>
      </w:r>
      <w:r w:rsidR="0083080F">
        <w:rPr>
          <w:rFonts w:ascii="Times New Roman" w:hAnsi="Times New Roman" w:cs="Times New Roman"/>
          <w:sz w:val="28"/>
          <w:szCs w:val="28"/>
        </w:rPr>
        <w:t>1,3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00A0C">
        <w:rPr>
          <w:rFonts w:ascii="Times New Roman" w:hAnsi="Times New Roman" w:cs="Times New Roman"/>
          <w:sz w:val="28"/>
          <w:szCs w:val="28"/>
        </w:rPr>
        <w:t>99,</w:t>
      </w:r>
      <w:r w:rsidR="0083080F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3080F">
        <w:rPr>
          <w:rFonts w:ascii="Times New Roman" w:hAnsi="Times New Roman" w:cs="Times New Roman"/>
          <w:sz w:val="28"/>
          <w:szCs w:val="28"/>
        </w:rPr>
        <w:t>373,3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3080F">
        <w:rPr>
          <w:rFonts w:ascii="Times New Roman" w:hAnsi="Times New Roman" w:cs="Times New Roman"/>
          <w:sz w:val="28"/>
          <w:szCs w:val="28"/>
        </w:rPr>
        <w:t>27,2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83080F">
        <w:rPr>
          <w:rFonts w:ascii="Times New Roman" w:hAnsi="Times New Roman" w:cs="Times New Roman"/>
          <w:sz w:val="28"/>
          <w:szCs w:val="28"/>
        </w:rPr>
        <w:t>7,8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83080F">
        <w:rPr>
          <w:rFonts w:ascii="Times New Roman" w:hAnsi="Times New Roman" w:cs="Times New Roman"/>
          <w:sz w:val="28"/>
          <w:szCs w:val="28"/>
        </w:rPr>
        <w:t>27,5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>составили 20,0%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квартале 201</w:t>
      </w:r>
      <w:r w:rsidR="00325067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325067">
        <w:rPr>
          <w:rFonts w:ascii="Times New Roman" w:hAnsi="Times New Roman" w:cs="Times New Roman"/>
          <w:sz w:val="28"/>
          <w:szCs w:val="28"/>
        </w:rPr>
        <w:t>730,8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5067">
        <w:rPr>
          <w:rFonts w:ascii="Times New Roman" w:hAnsi="Times New Roman" w:cs="Times New Roman"/>
          <w:sz w:val="28"/>
          <w:szCs w:val="28"/>
        </w:rPr>
        <w:t>6,6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325067">
        <w:rPr>
          <w:rFonts w:ascii="Times New Roman" w:hAnsi="Times New Roman" w:cs="Times New Roman"/>
          <w:sz w:val="28"/>
          <w:szCs w:val="28"/>
        </w:rPr>
        <w:t>1,4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</w:t>
      </w:r>
      <w:r w:rsidR="00E0091F">
        <w:rPr>
          <w:rFonts w:ascii="Times New Roman" w:hAnsi="Times New Roman" w:cs="Times New Roman"/>
          <w:sz w:val="28"/>
          <w:szCs w:val="28"/>
        </w:rPr>
        <w:lastRenderedPageBreak/>
        <w:t xml:space="preserve">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325067">
        <w:rPr>
          <w:rFonts w:ascii="Times New Roman" w:hAnsi="Times New Roman" w:cs="Times New Roman"/>
          <w:sz w:val="28"/>
          <w:szCs w:val="28"/>
        </w:rPr>
        <w:t>21,2%, 5,1% и 11,2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hAnsi="Times New Roman" w:cs="Times New Roman"/>
          <w:sz w:val="28"/>
          <w:szCs w:val="28"/>
        </w:rPr>
        <w:t>Кассовые расходы в 1 квартале 201</w:t>
      </w:r>
      <w:r w:rsidR="00325067">
        <w:rPr>
          <w:rFonts w:ascii="Times New Roman" w:hAnsi="Times New Roman" w:cs="Times New Roman"/>
          <w:sz w:val="28"/>
          <w:szCs w:val="28"/>
        </w:rPr>
        <w:t>6</w:t>
      </w:r>
      <w:r w:rsidR="00E0091F">
        <w:rPr>
          <w:rFonts w:ascii="Times New Roman" w:hAnsi="Times New Roman" w:cs="Times New Roman"/>
          <w:sz w:val="28"/>
          <w:szCs w:val="28"/>
        </w:rPr>
        <w:t xml:space="preserve"> года не осуществлялись по </w:t>
      </w:r>
      <w:r w:rsidR="00325067">
        <w:rPr>
          <w:rFonts w:ascii="Times New Roman" w:hAnsi="Times New Roman" w:cs="Times New Roman"/>
          <w:sz w:val="28"/>
          <w:szCs w:val="28"/>
        </w:rPr>
        <w:t>2</w:t>
      </w:r>
      <w:r w:rsidR="00E0091F">
        <w:rPr>
          <w:rFonts w:ascii="Times New Roman" w:hAnsi="Times New Roman" w:cs="Times New Roman"/>
          <w:sz w:val="28"/>
          <w:szCs w:val="28"/>
        </w:rPr>
        <w:t xml:space="preserve"> разделам: 04 01 «Общеэкономические вопросы», , 04 05 «Сельское хозяйство и рыболовство».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25067">
        <w:rPr>
          <w:rFonts w:ascii="Times New Roman" w:hAnsi="Times New Roman" w:cs="Times New Roman"/>
          <w:sz w:val="28"/>
          <w:szCs w:val="28"/>
        </w:rPr>
        <w:t>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91F">
        <w:rPr>
          <w:rFonts w:ascii="Times New Roman" w:hAnsi="Times New Roman" w:cs="Times New Roman"/>
          <w:sz w:val="28"/>
          <w:szCs w:val="28"/>
        </w:rPr>
        <w:t xml:space="preserve">на </w:t>
      </w:r>
      <w:r w:rsidR="00325067">
        <w:rPr>
          <w:rFonts w:ascii="Times New Roman" w:hAnsi="Times New Roman" w:cs="Times New Roman"/>
          <w:sz w:val="28"/>
          <w:szCs w:val="28"/>
        </w:rPr>
        <w:t>67,3</w:t>
      </w:r>
      <w:r w:rsidR="00E0091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3B3CDA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B3CDA">
        <w:rPr>
          <w:rFonts w:ascii="Times New Roman" w:hAnsi="Times New Roman" w:cs="Times New Roman"/>
          <w:sz w:val="28"/>
          <w:szCs w:val="28"/>
        </w:rPr>
        <w:t>178,1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3CDA">
        <w:rPr>
          <w:rFonts w:ascii="Times New Roman" w:hAnsi="Times New Roman" w:cs="Times New Roman"/>
          <w:sz w:val="28"/>
          <w:szCs w:val="28"/>
        </w:rPr>
        <w:t>38,6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3B3CDA">
        <w:rPr>
          <w:rFonts w:ascii="Times New Roman" w:hAnsi="Times New Roman" w:cs="Times New Roman"/>
          <w:sz w:val="28"/>
          <w:szCs w:val="28"/>
        </w:rPr>
        <w:t>5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3B3CDA">
        <w:rPr>
          <w:rFonts w:ascii="Times New Roman" w:hAnsi="Times New Roman" w:cs="Times New Roman"/>
          <w:sz w:val="28"/>
          <w:szCs w:val="28"/>
        </w:rPr>
        <w:t>111,0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процента. По подразделу 05 01 «Жилищное хозяйство» кассовое исполнение расходов составило </w:t>
      </w:r>
      <w:r w:rsidR="001A6777">
        <w:rPr>
          <w:rFonts w:ascii="Times New Roman" w:hAnsi="Times New Roman" w:cs="Times New Roman"/>
          <w:sz w:val="28"/>
          <w:szCs w:val="28"/>
        </w:rPr>
        <w:t>108,8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6777">
        <w:rPr>
          <w:rFonts w:ascii="Times New Roman" w:hAnsi="Times New Roman" w:cs="Times New Roman"/>
          <w:sz w:val="28"/>
          <w:szCs w:val="28"/>
        </w:rPr>
        <w:t>67,5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процента. По разделу, подразделу 05 02 «Коммунальное хозяйство» расходы составили </w:t>
      </w:r>
      <w:r w:rsidR="001A6777">
        <w:rPr>
          <w:rFonts w:ascii="Times New Roman" w:hAnsi="Times New Roman" w:cs="Times New Roman"/>
          <w:sz w:val="28"/>
          <w:szCs w:val="28"/>
        </w:rPr>
        <w:t>69,3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6777">
        <w:rPr>
          <w:rFonts w:ascii="Times New Roman" w:hAnsi="Times New Roman" w:cs="Times New Roman"/>
          <w:sz w:val="28"/>
          <w:szCs w:val="28"/>
        </w:rPr>
        <w:t>34,6</w:t>
      </w:r>
      <w:r w:rsidRPr="00E0091F">
        <w:rPr>
          <w:rFonts w:ascii="Times New Roman" w:hAnsi="Times New Roman" w:cs="Times New Roman"/>
          <w:sz w:val="28"/>
          <w:szCs w:val="28"/>
        </w:rPr>
        <w:t>% к уточненному плану. По разделу 05 0</w:t>
      </w:r>
      <w:r w:rsidR="00354B85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«</w:t>
      </w:r>
      <w:r w:rsidR="00354B8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E0091F">
        <w:rPr>
          <w:rFonts w:ascii="Times New Roman" w:hAnsi="Times New Roman" w:cs="Times New Roman"/>
          <w:sz w:val="28"/>
          <w:szCs w:val="28"/>
        </w:rPr>
        <w:t xml:space="preserve">» </w:t>
      </w:r>
      <w:r w:rsidR="001A6777">
        <w:rPr>
          <w:rFonts w:ascii="Times New Roman" w:hAnsi="Times New Roman" w:cs="Times New Roman"/>
          <w:sz w:val="28"/>
          <w:szCs w:val="28"/>
        </w:rPr>
        <w:t xml:space="preserve">при плане 100,0 тыс. рублей, </w:t>
      </w:r>
      <w:r w:rsidRPr="00E0091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A6777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37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 w:rsidR="001A6777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A6777">
        <w:rPr>
          <w:rFonts w:ascii="Times New Roman" w:hAnsi="Times New Roman" w:cs="Times New Roman"/>
          <w:sz w:val="28"/>
          <w:szCs w:val="28"/>
        </w:rPr>
        <w:t>36804,0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6777">
        <w:rPr>
          <w:rFonts w:ascii="Times New Roman" w:hAnsi="Times New Roman" w:cs="Times New Roman"/>
          <w:sz w:val="28"/>
          <w:szCs w:val="28"/>
        </w:rPr>
        <w:t>22</w:t>
      </w:r>
      <w:r w:rsidR="005C7DD6">
        <w:rPr>
          <w:rFonts w:ascii="Times New Roman" w:hAnsi="Times New Roman" w:cs="Times New Roman"/>
          <w:sz w:val="28"/>
          <w:szCs w:val="28"/>
        </w:rPr>
        <w:t>,9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1A6777">
        <w:rPr>
          <w:rFonts w:ascii="Times New Roman" w:hAnsi="Times New Roman" w:cs="Times New Roman"/>
          <w:sz w:val="28"/>
          <w:szCs w:val="28"/>
        </w:rPr>
        <w:t>72,8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1A6777">
        <w:rPr>
          <w:rFonts w:ascii="Times New Roman" w:hAnsi="Times New Roman" w:cs="Times New Roman"/>
          <w:sz w:val="28"/>
          <w:szCs w:val="28"/>
        </w:rPr>
        <w:t>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6777">
        <w:rPr>
          <w:rFonts w:ascii="Times New Roman" w:hAnsi="Times New Roman" w:cs="Times New Roman"/>
          <w:sz w:val="28"/>
          <w:szCs w:val="28"/>
        </w:rPr>
        <w:t>81,2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разрезе подразделов процент исполнения варьирует от </w:t>
      </w:r>
      <w:r w:rsidR="00996211">
        <w:rPr>
          <w:rFonts w:ascii="Times New Roman" w:hAnsi="Times New Roman" w:cs="Times New Roman"/>
          <w:sz w:val="28"/>
          <w:szCs w:val="28"/>
        </w:rPr>
        <w:t>4,5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по подразделу 07 </w:t>
      </w:r>
      <w:proofErr w:type="spellStart"/>
      <w:r w:rsidRPr="005C7DD6">
        <w:rPr>
          <w:rFonts w:ascii="Times New Roman" w:hAnsi="Times New Roman" w:cs="Times New Roman"/>
          <w:sz w:val="28"/>
          <w:szCs w:val="28"/>
        </w:rPr>
        <w:t>07</w:t>
      </w:r>
      <w:proofErr w:type="spellEnd"/>
      <w:r w:rsidRPr="005C7DD6">
        <w:rPr>
          <w:rFonts w:ascii="Times New Roman" w:hAnsi="Times New Roman" w:cs="Times New Roman"/>
          <w:sz w:val="28"/>
          <w:szCs w:val="28"/>
        </w:rPr>
        <w:t xml:space="preserve"> «Молодежная политика и оздоровление детей» до </w:t>
      </w:r>
      <w:r w:rsidR="00996211">
        <w:rPr>
          <w:rFonts w:ascii="Times New Roman" w:hAnsi="Times New Roman" w:cs="Times New Roman"/>
          <w:sz w:val="28"/>
          <w:szCs w:val="28"/>
        </w:rPr>
        <w:t>24,4</w:t>
      </w:r>
      <w:r w:rsidRPr="005C7DD6">
        <w:rPr>
          <w:rFonts w:ascii="Times New Roman" w:hAnsi="Times New Roman" w:cs="Times New Roman"/>
          <w:sz w:val="28"/>
          <w:szCs w:val="28"/>
        </w:rPr>
        <w:t>% по подразделу 07</w:t>
      </w:r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>0</w:t>
      </w:r>
      <w:r w:rsidR="008E4110">
        <w:rPr>
          <w:rFonts w:ascii="Times New Roman" w:hAnsi="Times New Roman" w:cs="Times New Roman"/>
          <w:sz w:val="28"/>
          <w:szCs w:val="28"/>
        </w:rPr>
        <w:t xml:space="preserve">2 </w:t>
      </w:r>
      <w:r w:rsidRPr="005C7DD6">
        <w:rPr>
          <w:rFonts w:ascii="Times New Roman" w:hAnsi="Times New Roman" w:cs="Times New Roman"/>
          <w:sz w:val="28"/>
          <w:szCs w:val="28"/>
        </w:rPr>
        <w:t>«</w:t>
      </w:r>
      <w:r w:rsidR="008E4110">
        <w:rPr>
          <w:rFonts w:ascii="Times New Roman" w:hAnsi="Times New Roman" w:cs="Times New Roman"/>
          <w:sz w:val="28"/>
          <w:szCs w:val="28"/>
        </w:rPr>
        <w:t>Общее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образование». Причина низкого исполнения по подразделу 07 </w:t>
      </w:r>
      <w:proofErr w:type="spellStart"/>
      <w:r w:rsidRPr="005C7DD6">
        <w:rPr>
          <w:rFonts w:ascii="Times New Roman" w:hAnsi="Times New Roman" w:cs="Times New Roman"/>
          <w:sz w:val="28"/>
          <w:szCs w:val="28"/>
        </w:rPr>
        <w:t>07</w:t>
      </w:r>
      <w:proofErr w:type="spellEnd"/>
      <w:r w:rsidRPr="005C7DD6">
        <w:rPr>
          <w:rFonts w:ascii="Times New Roman" w:hAnsi="Times New Roman" w:cs="Times New Roman"/>
          <w:sz w:val="28"/>
          <w:szCs w:val="28"/>
        </w:rPr>
        <w:t xml:space="preserve"> «Молодежная политика и оздоровление детей» объясняется тем, что большая часть расходов предусмотрена на </w:t>
      </w:r>
      <w:r w:rsidR="008E4110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в лагерях с дневным пребыванием на базе образовательных учреждений, учреждений физической культуры и спорта.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 подразделу 07 01 «Дошкольное образование» расходы исполнены на </w:t>
      </w:r>
      <w:r w:rsidR="00996211">
        <w:rPr>
          <w:rFonts w:ascii="Times New Roman" w:hAnsi="Times New Roman" w:cs="Times New Roman"/>
          <w:sz w:val="28"/>
          <w:szCs w:val="28"/>
        </w:rPr>
        <w:t>19,1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%, при годовых плановых назначениях </w:t>
      </w:r>
      <w:r w:rsidR="00996211">
        <w:rPr>
          <w:rFonts w:ascii="Times New Roman" w:hAnsi="Times New Roman" w:cs="Times New Roman"/>
          <w:sz w:val="28"/>
          <w:szCs w:val="28"/>
        </w:rPr>
        <w:t>34536,7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996211">
        <w:rPr>
          <w:rFonts w:ascii="Times New Roman" w:hAnsi="Times New Roman" w:cs="Times New Roman"/>
          <w:sz w:val="28"/>
          <w:szCs w:val="28"/>
        </w:rPr>
        <w:t>6303,6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По подразделу 07 02 «Общее образование» кассовое исполнение сложилось в сумме </w:t>
      </w:r>
      <w:r w:rsidR="00996211">
        <w:rPr>
          <w:rFonts w:ascii="Times New Roman" w:hAnsi="Times New Roman" w:cs="Times New Roman"/>
          <w:sz w:val="28"/>
          <w:szCs w:val="28"/>
        </w:rPr>
        <w:t>26042,4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6211">
        <w:rPr>
          <w:rFonts w:ascii="Times New Roman" w:hAnsi="Times New Roman" w:cs="Times New Roman"/>
          <w:sz w:val="28"/>
          <w:szCs w:val="28"/>
        </w:rPr>
        <w:t>24,4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По данному подразделу учтены расходы на финансовое обеспечение деятельности общеобразовательных учреждений в части реализации основных общеобразовательных программ. По подразделу 07 </w:t>
      </w:r>
      <w:proofErr w:type="spellStart"/>
      <w:r w:rsidRPr="005C7DD6">
        <w:rPr>
          <w:rFonts w:ascii="Times New Roman" w:hAnsi="Times New Roman" w:cs="Times New Roman"/>
          <w:sz w:val="28"/>
          <w:szCs w:val="28"/>
        </w:rPr>
        <w:t>0</w:t>
      </w:r>
      <w:r w:rsidR="0047637B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47637B" w:rsidRPr="005C7DD6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 w:rsidRPr="005C7DD6">
        <w:rPr>
          <w:rFonts w:ascii="Times New Roman" w:hAnsi="Times New Roman" w:cs="Times New Roman"/>
          <w:sz w:val="28"/>
          <w:szCs w:val="28"/>
        </w:rPr>
        <w:t>» направлено сре</w:t>
      </w:r>
      <w:proofErr w:type="gramStart"/>
      <w:r w:rsidRPr="005C7DD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C7DD6">
        <w:rPr>
          <w:rFonts w:ascii="Times New Roman" w:hAnsi="Times New Roman" w:cs="Times New Roman"/>
          <w:sz w:val="28"/>
          <w:szCs w:val="28"/>
        </w:rPr>
        <w:t xml:space="preserve">умме </w:t>
      </w:r>
      <w:r w:rsidR="00996211">
        <w:rPr>
          <w:rFonts w:ascii="Times New Roman" w:hAnsi="Times New Roman" w:cs="Times New Roman"/>
          <w:sz w:val="28"/>
          <w:szCs w:val="28"/>
        </w:rPr>
        <w:t>445,0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996211">
        <w:rPr>
          <w:rFonts w:ascii="Times New Roman" w:hAnsi="Times New Roman" w:cs="Times New Roman"/>
          <w:sz w:val="28"/>
          <w:szCs w:val="28"/>
        </w:rPr>
        <w:t>4,5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На другие вопросы в области образования направлены средства в сумме </w:t>
      </w:r>
      <w:r w:rsidR="00996211">
        <w:rPr>
          <w:rFonts w:ascii="Times New Roman" w:hAnsi="Times New Roman" w:cs="Times New Roman"/>
          <w:sz w:val="28"/>
          <w:szCs w:val="28"/>
        </w:rPr>
        <w:t>17404,6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47637B">
        <w:rPr>
          <w:rFonts w:ascii="Times New Roman" w:hAnsi="Times New Roman" w:cs="Times New Roman"/>
          <w:sz w:val="28"/>
          <w:szCs w:val="28"/>
        </w:rPr>
        <w:t>–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996211">
        <w:rPr>
          <w:rFonts w:ascii="Times New Roman" w:hAnsi="Times New Roman" w:cs="Times New Roman"/>
          <w:sz w:val="28"/>
          <w:szCs w:val="28"/>
        </w:rPr>
        <w:t>23,8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2101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11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996211">
        <w:rPr>
          <w:rFonts w:ascii="Times New Roman" w:hAnsi="Times New Roman" w:cs="Times New Roman"/>
          <w:sz w:val="28"/>
          <w:szCs w:val="28"/>
        </w:rPr>
        <w:t>10398,2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2A44B5">
        <w:rPr>
          <w:rFonts w:ascii="Times New Roman" w:hAnsi="Times New Roman" w:cs="Times New Roman"/>
          <w:sz w:val="28"/>
          <w:szCs w:val="28"/>
        </w:rPr>
        <w:t>2364,5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44B5">
        <w:rPr>
          <w:rFonts w:ascii="Times New Roman" w:hAnsi="Times New Roman" w:cs="Times New Roman"/>
          <w:sz w:val="28"/>
          <w:szCs w:val="28"/>
        </w:rPr>
        <w:t>22,7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2A44B5">
        <w:rPr>
          <w:rFonts w:ascii="Times New Roman" w:hAnsi="Times New Roman" w:cs="Times New Roman"/>
          <w:sz w:val="28"/>
          <w:szCs w:val="28"/>
        </w:rPr>
        <w:t>4,7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2A44B5">
        <w:rPr>
          <w:rFonts w:ascii="Times New Roman" w:hAnsi="Times New Roman" w:cs="Times New Roman"/>
          <w:sz w:val="28"/>
          <w:szCs w:val="28"/>
        </w:rPr>
        <w:t>108,1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По подразделу 08 01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«Культура» расходы сложились в сумме </w:t>
      </w:r>
      <w:r w:rsidR="002A44B5">
        <w:rPr>
          <w:rFonts w:ascii="Times New Roman" w:hAnsi="Times New Roman" w:cs="Times New Roman"/>
          <w:sz w:val="28"/>
          <w:szCs w:val="28"/>
        </w:rPr>
        <w:t>2342,2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44B5">
        <w:rPr>
          <w:rFonts w:ascii="Times New Roman" w:hAnsi="Times New Roman" w:cs="Times New Roman"/>
          <w:sz w:val="28"/>
          <w:szCs w:val="28"/>
        </w:rPr>
        <w:t>22,7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По подразделу 08 04 «Другие вопросы в области культуры, кинематографии» исполнение сложилось в объеме </w:t>
      </w:r>
      <w:r w:rsidR="00121018">
        <w:rPr>
          <w:rFonts w:ascii="Times New Roman" w:hAnsi="Times New Roman" w:cs="Times New Roman"/>
          <w:sz w:val="28"/>
          <w:szCs w:val="28"/>
        </w:rPr>
        <w:t>19,</w:t>
      </w:r>
      <w:r w:rsidR="002A44B5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22,5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назначений. </w:t>
      </w:r>
    </w:p>
    <w:p w:rsidR="00121018" w:rsidRPr="0012101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исполнены в сумме </w:t>
      </w:r>
      <w:r w:rsidR="002A44B5">
        <w:rPr>
          <w:rFonts w:ascii="Times New Roman" w:hAnsi="Times New Roman" w:cs="Times New Roman"/>
          <w:sz w:val="28"/>
          <w:szCs w:val="28"/>
        </w:rPr>
        <w:t>2216,9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14,2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643FBC">
        <w:rPr>
          <w:rFonts w:ascii="Times New Roman" w:hAnsi="Times New Roman" w:cs="Times New Roman"/>
          <w:sz w:val="28"/>
          <w:szCs w:val="28"/>
        </w:rPr>
        <w:t>4,4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составило от </w:t>
      </w:r>
      <w:r w:rsidR="002A44B5">
        <w:rPr>
          <w:rFonts w:ascii="Times New Roman" w:hAnsi="Times New Roman" w:cs="Times New Roman"/>
          <w:sz w:val="28"/>
          <w:szCs w:val="28"/>
        </w:rPr>
        <w:t>2,1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по подразделу </w:t>
      </w:r>
      <w:r w:rsidR="00643FBC"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 w:rsidR="00643FBC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>» до 2</w:t>
      </w:r>
      <w:r w:rsidR="002A44B5">
        <w:rPr>
          <w:rFonts w:ascii="Times New Roman" w:hAnsi="Times New Roman" w:cs="Times New Roman"/>
          <w:sz w:val="28"/>
          <w:szCs w:val="28"/>
        </w:rPr>
        <w:t>9,3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по подразделу </w:t>
      </w:r>
      <w:r w:rsidR="00643FBC"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 w:rsidR="00643FBC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». По сравнению с аналогичным периодом 201</w:t>
      </w:r>
      <w:r w:rsidR="002A44B5">
        <w:rPr>
          <w:rFonts w:ascii="Times New Roman" w:hAnsi="Times New Roman" w:cs="Times New Roman"/>
          <w:sz w:val="28"/>
          <w:szCs w:val="28"/>
        </w:rPr>
        <w:t>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A44B5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2A44B5">
        <w:rPr>
          <w:rFonts w:ascii="Times New Roman" w:hAnsi="Times New Roman" w:cs="Times New Roman"/>
          <w:sz w:val="28"/>
          <w:szCs w:val="28"/>
        </w:rPr>
        <w:t>16,5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По подразделу 10 04 «Охрана семьи и детства» исполнение </w:t>
      </w:r>
      <w:r w:rsidR="000840F5">
        <w:rPr>
          <w:rFonts w:ascii="Times New Roman" w:hAnsi="Times New Roman" w:cs="Times New Roman"/>
          <w:sz w:val="28"/>
          <w:szCs w:val="28"/>
        </w:rPr>
        <w:t>сложилось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2A44B5">
        <w:rPr>
          <w:rFonts w:ascii="Times New Roman" w:hAnsi="Times New Roman" w:cs="Times New Roman"/>
          <w:sz w:val="28"/>
          <w:szCs w:val="28"/>
        </w:rPr>
        <w:t>13,5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По подразделу 10 06 «Другие вопросы в области социальной политики» уровень исполнения расходов </w:t>
      </w:r>
      <w:r w:rsidR="002A44B5">
        <w:rPr>
          <w:rFonts w:ascii="Times New Roman" w:hAnsi="Times New Roman" w:cs="Times New Roman"/>
          <w:sz w:val="28"/>
          <w:szCs w:val="28"/>
        </w:rPr>
        <w:t>–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2A44B5">
        <w:rPr>
          <w:rFonts w:ascii="Times New Roman" w:hAnsi="Times New Roman" w:cs="Times New Roman"/>
          <w:sz w:val="28"/>
          <w:szCs w:val="28"/>
        </w:rPr>
        <w:t>19,3</w:t>
      </w:r>
      <w:r w:rsidR="000840F5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8E67E4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E67E4">
        <w:rPr>
          <w:rFonts w:ascii="Times New Roman" w:hAnsi="Times New Roman" w:cs="Times New Roman"/>
          <w:sz w:val="28"/>
          <w:szCs w:val="28"/>
        </w:rPr>
        <w:t>53,0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67E4">
        <w:rPr>
          <w:rFonts w:ascii="Times New Roman" w:hAnsi="Times New Roman" w:cs="Times New Roman"/>
          <w:sz w:val="28"/>
          <w:szCs w:val="28"/>
        </w:rPr>
        <w:t>8,0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8E67E4">
        <w:rPr>
          <w:rFonts w:ascii="Times New Roman" w:hAnsi="Times New Roman" w:cs="Times New Roman"/>
          <w:sz w:val="28"/>
          <w:szCs w:val="28"/>
        </w:rPr>
        <w:t>5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1C25FB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8E67E4">
        <w:rPr>
          <w:rFonts w:ascii="Times New Roman" w:hAnsi="Times New Roman" w:cs="Times New Roman"/>
          <w:sz w:val="28"/>
          <w:szCs w:val="28"/>
        </w:rPr>
        <w:t>69,7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8E67E4">
        <w:rPr>
          <w:rFonts w:ascii="Times New Roman" w:hAnsi="Times New Roman" w:cs="Times New Roman"/>
          <w:sz w:val="28"/>
          <w:szCs w:val="28"/>
        </w:rPr>
        <w:t>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8E67E4">
        <w:rPr>
          <w:rFonts w:ascii="Times New Roman" w:hAnsi="Times New Roman" w:cs="Times New Roman"/>
          <w:sz w:val="28"/>
          <w:szCs w:val="28"/>
        </w:rPr>
        <w:t>2374,0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E67E4">
        <w:rPr>
          <w:rFonts w:ascii="Times New Roman" w:hAnsi="Times New Roman" w:cs="Times New Roman"/>
          <w:sz w:val="28"/>
          <w:szCs w:val="28"/>
        </w:rPr>
        <w:t>34,5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8E67E4">
        <w:rPr>
          <w:rFonts w:ascii="Times New Roman" w:hAnsi="Times New Roman" w:cs="Times New Roman"/>
          <w:sz w:val="28"/>
          <w:szCs w:val="28"/>
        </w:rPr>
        <w:t>4,7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 </w:t>
      </w:r>
      <w:r w:rsidR="008E67E4">
        <w:rPr>
          <w:rFonts w:ascii="Times New Roman" w:hAnsi="Times New Roman" w:cs="Times New Roman"/>
          <w:sz w:val="28"/>
          <w:szCs w:val="28"/>
        </w:rPr>
        <w:t>1059,5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E67E4">
        <w:rPr>
          <w:rFonts w:ascii="Times New Roman" w:hAnsi="Times New Roman" w:cs="Times New Roman"/>
          <w:sz w:val="28"/>
          <w:szCs w:val="28"/>
        </w:rPr>
        <w:t>33,7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процента). Исполнение по подразделу 14 01 «Дотации на выравнивание бюджетной обеспеченности субъектов Российской Федерации и муниципальных образований» составило </w:t>
      </w:r>
      <w:r w:rsidR="008E67E4">
        <w:rPr>
          <w:rFonts w:ascii="Times New Roman" w:hAnsi="Times New Roman" w:cs="Times New Roman"/>
          <w:sz w:val="28"/>
          <w:szCs w:val="28"/>
        </w:rPr>
        <w:t>2065,5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14F4">
        <w:rPr>
          <w:rFonts w:ascii="Times New Roman" w:hAnsi="Times New Roman" w:cs="Times New Roman"/>
          <w:sz w:val="28"/>
          <w:szCs w:val="28"/>
        </w:rPr>
        <w:t>36,5</w:t>
      </w:r>
      <w:r w:rsidRPr="00507A3B">
        <w:rPr>
          <w:rFonts w:ascii="Times New Roman" w:hAnsi="Times New Roman" w:cs="Times New Roman"/>
          <w:sz w:val="28"/>
          <w:szCs w:val="28"/>
        </w:rPr>
        <w:t xml:space="preserve">% утвержденных годовых объемов. По подразделу 14 02 «Иные дотации» исполнение сложилось в сумме </w:t>
      </w:r>
      <w:r w:rsidR="00D614F4">
        <w:rPr>
          <w:rFonts w:ascii="Times New Roman" w:hAnsi="Times New Roman" w:cs="Times New Roman"/>
          <w:sz w:val="28"/>
          <w:szCs w:val="28"/>
        </w:rPr>
        <w:t>308,5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14F4">
        <w:rPr>
          <w:rFonts w:ascii="Times New Roman" w:hAnsi="Times New Roman" w:cs="Times New Roman"/>
          <w:sz w:val="28"/>
          <w:szCs w:val="28"/>
        </w:rPr>
        <w:t>, или 25,0 процента</w:t>
      </w:r>
      <w:r w:rsidRPr="00507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средств: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* (900) Администрация Дубровского района, в том числе </w:t>
      </w:r>
      <w:r w:rsidR="00036E63">
        <w:rPr>
          <w:szCs w:val="28"/>
        </w:rPr>
        <w:t>4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структурных</w:t>
      </w:r>
      <w:proofErr w:type="gramEnd"/>
      <w:r>
        <w:rPr>
          <w:szCs w:val="28"/>
        </w:rPr>
        <w:t xml:space="preserve"> (обособленных) подразделения: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Комитет правовых и имущественных отношений  администрации Дубровского района,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Муниципальное казенное учреждение «Единая дежурная диспетчерская служба Дубровского района»</w:t>
      </w:r>
      <w:r w:rsidR="00036E63">
        <w:rPr>
          <w:szCs w:val="28"/>
        </w:rPr>
        <w:t>.</w:t>
      </w:r>
    </w:p>
    <w:p w:rsidR="00036E63" w:rsidRDefault="00036E6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МКУ «МФЦ».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lastRenderedPageBreak/>
        <w:t>* (903) Контрольно-счётная палата Дубровского района.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036E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036E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5"/>
        <w:gridCol w:w="1552"/>
        <w:gridCol w:w="1701"/>
        <w:gridCol w:w="1607"/>
        <w:gridCol w:w="803"/>
      </w:tblGrid>
      <w:tr w:rsidR="003066B3" w:rsidTr="00D36436"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3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3066B3" w:rsidP="00D614F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3066B3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55 258,2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220527,7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6848BB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6848BB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11686,9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6848BB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614F4" w:rsidTr="006848BB">
        <w:trPr>
          <w:trHeight w:val="90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6848BB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614F4" w:rsidTr="00D36436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60 338,0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232976,8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A17103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50535,3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6848BB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21,7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91498">
        <w:rPr>
          <w:rFonts w:ascii="Times New Roman" w:hAnsi="Times New Roman" w:cs="Times New Roman"/>
          <w:sz w:val="28"/>
          <w:szCs w:val="28"/>
        </w:rPr>
        <w:t>232976,8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991498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91498">
        <w:rPr>
          <w:rFonts w:ascii="Times New Roman" w:hAnsi="Times New Roman" w:cs="Times New Roman"/>
          <w:sz w:val="28"/>
          <w:szCs w:val="28"/>
        </w:rPr>
        <w:t>50535,3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21,7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991498">
        <w:rPr>
          <w:rFonts w:ascii="Times New Roman" w:hAnsi="Times New Roman" w:cs="Times New Roman"/>
          <w:sz w:val="28"/>
          <w:szCs w:val="28"/>
        </w:rPr>
        <w:t>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2F1A6B">
        <w:rPr>
          <w:rFonts w:ascii="Times New Roman" w:hAnsi="Times New Roman" w:cs="Times New Roman"/>
          <w:sz w:val="28"/>
          <w:szCs w:val="28"/>
        </w:rPr>
        <w:t>83,5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 Наибольший процент исполнения 3</w:t>
      </w:r>
      <w:r w:rsidR="002F1A6B">
        <w:rPr>
          <w:rFonts w:ascii="Times New Roman" w:hAnsi="Times New Roman" w:cs="Times New Roman"/>
          <w:sz w:val="28"/>
          <w:szCs w:val="28"/>
        </w:rPr>
        <w:t>1</w:t>
      </w:r>
      <w:r w:rsidRPr="00C2762E">
        <w:rPr>
          <w:rFonts w:ascii="Times New Roman" w:hAnsi="Times New Roman" w:cs="Times New Roman"/>
          <w:sz w:val="28"/>
          <w:szCs w:val="28"/>
        </w:rPr>
        <w:t>,</w:t>
      </w:r>
      <w:r w:rsidR="002857BA">
        <w:rPr>
          <w:rFonts w:ascii="Times New Roman" w:hAnsi="Times New Roman" w:cs="Times New Roman"/>
          <w:sz w:val="28"/>
          <w:szCs w:val="28"/>
        </w:rPr>
        <w:t>5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2F1A6B">
        <w:rPr>
          <w:rFonts w:ascii="Times New Roman" w:hAnsi="Times New Roman" w:cs="Times New Roman"/>
          <w:sz w:val="28"/>
          <w:szCs w:val="28"/>
        </w:rPr>
        <w:t>Финансовому управлению администрации Дубровского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 – администрации Дубровского района -2</w:t>
      </w:r>
      <w:r w:rsidR="002F1A6B">
        <w:rPr>
          <w:rFonts w:ascii="Times New Roman" w:hAnsi="Times New Roman" w:cs="Times New Roman"/>
          <w:sz w:val="28"/>
          <w:szCs w:val="28"/>
        </w:rPr>
        <w:t>1,2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7DE4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7F7DE4">
        <w:rPr>
          <w:rFonts w:ascii="Times New Roman" w:hAnsi="Times New Roman" w:cs="Times New Roman"/>
          <w:sz w:val="28"/>
          <w:szCs w:val="28"/>
        </w:rPr>
        <w:t>226066,0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7F7DE4">
        <w:rPr>
          <w:rFonts w:ascii="Times New Roman" w:hAnsi="Times New Roman" w:cs="Times New Roman"/>
          <w:sz w:val="28"/>
          <w:szCs w:val="28"/>
        </w:rPr>
        <w:t>53757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7F7DE4">
        <w:rPr>
          <w:rFonts w:ascii="Times New Roman" w:hAnsi="Times New Roman" w:cs="Times New Roman"/>
          <w:sz w:val="28"/>
          <w:szCs w:val="28"/>
        </w:rPr>
        <w:t>162521,0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«Развитие культуры и сохранение культурного наследия Дубровского района (201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F7DE4">
        <w:rPr>
          <w:rFonts w:ascii="Times New Roman" w:hAnsi="Times New Roman" w:cs="Times New Roman"/>
          <w:sz w:val="28"/>
          <w:szCs w:val="28"/>
        </w:rPr>
        <w:t>9788,0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1933"/>
        <w:gridCol w:w="1896"/>
        <w:gridCol w:w="1873"/>
        <w:gridCol w:w="1863"/>
        <w:gridCol w:w="1863"/>
      </w:tblGrid>
      <w:tr w:rsidR="00A41AEC" w:rsidTr="0007240A">
        <w:tc>
          <w:tcPr>
            <w:tcW w:w="1933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96" w:type="dxa"/>
            <w:vAlign w:val="center"/>
          </w:tcPr>
          <w:p w:rsidR="007F7DE4" w:rsidRPr="00614BCF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A41AEC" w:rsidRPr="00614BCF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07240A" w:rsidRDefault="0007240A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="00A41AEC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AEC" w:rsidRPr="00614BCF" w:rsidRDefault="00A41AEC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 xml:space="preserve">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A41AEC" w:rsidRPr="00614BCF" w:rsidRDefault="00A41AEC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F7DE4" w:rsidTr="0007240A">
        <w:tc>
          <w:tcPr>
            <w:tcW w:w="1933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96" w:type="dxa"/>
            <w:vAlign w:val="center"/>
          </w:tcPr>
          <w:p w:rsidR="007F7DE4" w:rsidRPr="00614BCF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12 593,1</w:t>
            </w:r>
          </w:p>
        </w:tc>
        <w:tc>
          <w:tcPr>
            <w:tcW w:w="187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60018,0</w:t>
            </w:r>
          </w:p>
        </w:tc>
        <w:tc>
          <w:tcPr>
            <w:tcW w:w="1863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11077,0</w:t>
            </w:r>
          </w:p>
        </w:tc>
        <w:tc>
          <w:tcPr>
            <w:tcW w:w="186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7F7DE4" w:rsidTr="0007240A">
        <w:tc>
          <w:tcPr>
            <w:tcW w:w="1933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</w:tc>
        <w:tc>
          <w:tcPr>
            <w:tcW w:w="1896" w:type="dxa"/>
            <w:vAlign w:val="center"/>
          </w:tcPr>
          <w:p w:rsidR="007F7DE4" w:rsidRPr="00614BCF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45 319,8</w:t>
            </w:r>
          </w:p>
        </w:tc>
        <w:tc>
          <w:tcPr>
            <w:tcW w:w="187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162185,0</w:t>
            </w:r>
          </w:p>
        </w:tc>
        <w:tc>
          <w:tcPr>
            <w:tcW w:w="186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37046,0</w:t>
            </w:r>
          </w:p>
        </w:tc>
        <w:tc>
          <w:tcPr>
            <w:tcW w:w="186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7F7DE4" w:rsidTr="0007240A">
        <w:tc>
          <w:tcPr>
            <w:tcW w:w="1933" w:type="dxa"/>
            <w:vAlign w:val="center"/>
          </w:tcPr>
          <w:p w:rsidR="007F7DE4" w:rsidRPr="00614BCF" w:rsidRDefault="007F7DE4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896" w:type="dxa"/>
            <w:vAlign w:val="center"/>
          </w:tcPr>
          <w:p w:rsidR="007F7DE4" w:rsidRPr="00614BCF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2 091,6</w:t>
            </w:r>
          </w:p>
        </w:tc>
        <w:tc>
          <w:tcPr>
            <w:tcW w:w="187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9812,0</w:t>
            </w:r>
          </w:p>
        </w:tc>
        <w:tc>
          <w:tcPr>
            <w:tcW w:w="186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2229,0</w:t>
            </w:r>
          </w:p>
        </w:tc>
        <w:tc>
          <w:tcPr>
            <w:tcW w:w="186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F7DE4" w:rsidTr="0007240A">
        <w:tc>
          <w:tcPr>
            <w:tcW w:w="193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96" w:type="dxa"/>
            <w:vAlign w:val="center"/>
          </w:tcPr>
          <w:p w:rsidR="007F7DE4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873" w:type="dxa"/>
            <w:vAlign w:val="center"/>
          </w:tcPr>
          <w:p w:rsidR="007F7DE4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863" w:type="dxa"/>
            <w:vAlign w:val="center"/>
          </w:tcPr>
          <w:p w:rsidR="007F7DE4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863" w:type="dxa"/>
            <w:vAlign w:val="center"/>
          </w:tcPr>
          <w:p w:rsidR="007F7DE4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F7DE4" w:rsidTr="0007240A">
        <w:tc>
          <w:tcPr>
            <w:tcW w:w="1933" w:type="dxa"/>
            <w:vAlign w:val="center"/>
          </w:tcPr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4" w:rsidRPr="00614BCF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vAlign w:val="center"/>
          </w:tcPr>
          <w:p w:rsidR="007F7DE4" w:rsidRPr="00614BCF" w:rsidRDefault="007F7DE4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60 338,0</w:t>
            </w:r>
          </w:p>
        </w:tc>
        <w:tc>
          <w:tcPr>
            <w:tcW w:w="1873" w:type="dxa"/>
            <w:vAlign w:val="center"/>
          </w:tcPr>
          <w:p w:rsidR="007F7DE4" w:rsidRPr="00614BCF" w:rsidRDefault="0006117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232977,0</w:t>
            </w:r>
          </w:p>
        </w:tc>
        <w:tc>
          <w:tcPr>
            <w:tcW w:w="1863" w:type="dxa"/>
            <w:vAlign w:val="center"/>
          </w:tcPr>
          <w:p w:rsidR="007F7DE4" w:rsidRPr="00614BCF" w:rsidRDefault="0006117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50535,0</w:t>
            </w:r>
          </w:p>
        </w:tc>
        <w:tc>
          <w:tcPr>
            <w:tcW w:w="1863" w:type="dxa"/>
            <w:vAlign w:val="center"/>
          </w:tcPr>
          <w:p w:rsidR="007F7DE4" w:rsidRPr="00614BCF" w:rsidRDefault="0006117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06117C">
        <w:rPr>
          <w:rFonts w:ascii="Times New Roman" w:hAnsi="Times New Roman" w:cs="Times New Roman"/>
          <w:sz w:val="28"/>
          <w:szCs w:val="28"/>
        </w:rPr>
        <w:t>50352,0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6117C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ассигнований, утвержденных решением о бюджете, и </w:t>
      </w:r>
      <w:r w:rsidR="0006117C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07240A">
        <w:rPr>
          <w:rFonts w:ascii="Times New Roman" w:hAnsi="Times New Roman" w:cs="Times New Roman"/>
          <w:sz w:val="28"/>
          <w:szCs w:val="28"/>
        </w:rPr>
        <w:t>1</w:t>
      </w:r>
      <w:r w:rsidR="0006117C">
        <w:rPr>
          <w:rFonts w:ascii="Times New Roman" w:hAnsi="Times New Roman" w:cs="Times New Roman"/>
          <w:sz w:val="28"/>
          <w:szCs w:val="28"/>
        </w:rPr>
        <w:t xml:space="preserve">8,5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06117C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240A" w:rsidRDefault="0007240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муниципальной программе «Развитие образования Дубровского района»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исполнение сложилось выше среднего уровня -</w:t>
      </w:r>
      <w:r w:rsidR="0006117C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06117C">
        <w:rPr>
          <w:rFonts w:ascii="Times New Roman" w:hAnsi="Times New Roman" w:cs="Times New Roman"/>
          <w:sz w:val="28"/>
          <w:szCs w:val="28"/>
        </w:rPr>
        <w:t>183,0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117C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№336.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117C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резервный фонд администрации утвержден в сумме </w:t>
      </w:r>
      <w:r w:rsidR="00307F05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04EB9">
        <w:rPr>
          <w:rFonts w:ascii="Times New Roman" w:hAnsi="Times New Roman" w:cs="Times New Roman"/>
          <w:sz w:val="28"/>
          <w:szCs w:val="28"/>
        </w:rPr>
        <w:t>1 квартале 201</w:t>
      </w:r>
      <w:r w:rsidR="00307F05">
        <w:rPr>
          <w:rFonts w:ascii="Times New Roman" w:hAnsi="Times New Roman" w:cs="Times New Roman"/>
          <w:sz w:val="28"/>
          <w:szCs w:val="28"/>
        </w:rPr>
        <w:t>6</w:t>
      </w:r>
      <w:r w:rsidR="00C04E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объем резервного фонда </w:t>
      </w:r>
      <w:r w:rsidR="00307F05">
        <w:rPr>
          <w:rFonts w:ascii="Times New Roman" w:hAnsi="Times New Roman" w:cs="Times New Roman"/>
          <w:sz w:val="28"/>
          <w:szCs w:val="28"/>
        </w:rPr>
        <w:t>внесены изменения, с учетом изменений резервный фонд утвержден в сумме 180,0 тыс. ру</w:t>
      </w:r>
      <w:r w:rsidR="005221DD">
        <w:rPr>
          <w:rFonts w:ascii="Times New Roman" w:hAnsi="Times New Roman" w:cs="Times New Roman"/>
          <w:sz w:val="28"/>
          <w:szCs w:val="28"/>
        </w:rPr>
        <w:t>блей.</w:t>
      </w:r>
    </w:p>
    <w:p w:rsidR="00DA77CA" w:rsidRDefault="00E1328B" w:rsidP="00E132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«Социальное обеспечение населения». </w:t>
      </w:r>
    </w:p>
    <w:p w:rsidR="00644D1D" w:rsidRPr="0097731B" w:rsidRDefault="00644D1D" w:rsidP="00644D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</w:t>
      </w:r>
      <w:r w:rsidR="00D232D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>
        <w:rPr>
          <w:rFonts w:ascii="Times New Roman" w:hAnsi="Times New Roman" w:cs="Times New Roman"/>
          <w:sz w:val="28"/>
          <w:szCs w:val="28"/>
        </w:rPr>
        <w:t xml:space="preserve">выделено 20,0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644D1D" w:rsidRDefault="00644D1D" w:rsidP="00644D1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расходов в отчетном периоде составило 20,0 тыс. рулей, или 11,1% уточненных годовых назначений.</w:t>
      </w:r>
    </w:p>
    <w:p w:rsidR="00D232D7" w:rsidRDefault="00D232D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36C27" w:rsidRDefault="00A36C2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pStyle w:val="2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05550E">
        <w:rPr>
          <w:szCs w:val="28"/>
        </w:rPr>
        <w:t>6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05550E">
        <w:rPr>
          <w:szCs w:val="28"/>
        </w:rPr>
        <w:t>22234,7</w:t>
      </w:r>
      <w:r>
        <w:rPr>
          <w:szCs w:val="28"/>
        </w:rPr>
        <w:t xml:space="preserve"> тыс. рублей, на 01.0</w:t>
      </w:r>
      <w:r w:rsidR="0005550E">
        <w:rPr>
          <w:szCs w:val="28"/>
        </w:rPr>
        <w:t>4</w:t>
      </w:r>
      <w:r>
        <w:rPr>
          <w:szCs w:val="28"/>
        </w:rPr>
        <w:t xml:space="preserve">.2016 года  </w:t>
      </w:r>
      <w:r w:rsidR="0005550E">
        <w:rPr>
          <w:szCs w:val="28"/>
        </w:rPr>
        <w:t>30109,1</w:t>
      </w:r>
      <w:r>
        <w:rPr>
          <w:szCs w:val="28"/>
        </w:rPr>
        <w:t xml:space="preserve"> 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05550E">
        <w:rPr>
          <w:szCs w:val="28"/>
        </w:rPr>
        <w:t xml:space="preserve">7874,4 </w:t>
      </w:r>
      <w:r>
        <w:rPr>
          <w:szCs w:val="28"/>
        </w:rPr>
        <w:t xml:space="preserve">тыс. рублей, или на </w:t>
      </w:r>
      <w:r w:rsidR="0005550E">
        <w:rPr>
          <w:szCs w:val="28"/>
        </w:rPr>
        <w:t>35,4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0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1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01.01.2016</w:t>
            </w:r>
          </w:p>
          <w:p w:rsidR="00B13676" w:rsidRDefault="00B13676" w:rsidP="00B13676">
            <w:pPr>
              <w:pStyle w:val="ac"/>
              <w:widowControl w:val="0"/>
              <w:ind w:firstLine="720"/>
              <w:jc w:val="left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01.04.2016 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01.04.2015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174,6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2775,3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3514,3 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1788,3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1900,3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143,0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126,7</w:t>
            </w:r>
          </w:p>
        </w:tc>
        <w:tc>
          <w:tcPr>
            <w:tcW w:w="2393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544267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4892,4</w:t>
            </w:r>
          </w:p>
        </w:tc>
        <w:tc>
          <w:tcPr>
            <w:tcW w:w="2393" w:type="dxa"/>
          </w:tcPr>
          <w:p w:rsidR="00E060FD" w:rsidRPr="00544267" w:rsidRDefault="00544267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5542,1</w:t>
            </w:r>
          </w:p>
        </w:tc>
        <w:tc>
          <w:tcPr>
            <w:tcW w:w="2393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191,9</w:t>
            </w:r>
          </w:p>
        </w:tc>
        <w:tc>
          <w:tcPr>
            <w:tcW w:w="2393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  <w:tc>
          <w:tcPr>
            <w:tcW w:w="2393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2393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63,6</w:t>
            </w:r>
          </w:p>
        </w:tc>
        <w:tc>
          <w:tcPr>
            <w:tcW w:w="2393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517,1</w:t>
            </w:r>
          </w:p>
        </w:tc>
        <w:tc>
          <w:tcPr>
            <w:tcW w:w="2393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470,2</w:t>
            </w:r>
          </w:p>
        </w:tc>
        <w:tc>
          <w:tcPr>
            <w:tcW w:w="2393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577,4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2393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2393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807,6</w:t>
            </w:r>
          </w:p>
        </w:tc>
        <w:tc>
          <w:tcPr>
            <w:tcW w:w="2393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630,6</w:t>
            </w:r>
          </w:p>
        </w:tc>
        <w:tc>
          <w:tcPr>
            <w:tcW w:w="2393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578,0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310,3</w:t>
            </w:r>
          </w:p>
        </w:tc>
        <w:tc>
          <w:tcPr>
            <w:tcW w:w="2393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352,9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10612,0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17371,0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12638,3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5038,5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5334,9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7405,1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146,2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157,8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196,3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A36C27" w:rsidP="00A36C27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16107,0</w:t>
            </w:r>
          </w:p>
        </w:tc>
        <w:tc>
          <w:tcPr>
            <w:tcW w:w="2393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23216,7</w:t>
            </w:r>
          </w:p>
        </w:tc>
        <w:tc>
          <w:tcPr>
            <w:tcW w:w="2393" w:type="dxa"/>
          </w:tcPr>
          <w:p w:rsidR="00E060FD" w:rsidRPr="00A36C27" w:rsidRDefault="00A36C27" w:rsidP="00A36C27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20240,0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367,7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659,7</w:t>
            </w:r>
          </w:p>
        </w:tc>
        <w:tc>
          <w:tcPr>
            <w:tcW w:w="2393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700,6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427,7</w:t>
            </w:r>
          </w:p>
        </w:tc>
        <w:tc>
          <w:tcPr>
            <w:tcW w:w="2393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719,7</w:t>
            </w:r>
          </w:p>
        </w:tc>
        <w:tc>
          <w:tcPr>
            <w:tcW w:w="2393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700,6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C57ED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22324,7</w:t>
            </w: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C57ED1" w:rsidRDefault="00C57ED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30109,1</w:t>
            </w: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C57ED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21518,0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C57ED1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785">
        <w:rPr>
          <w:rFonts w:ascii="Times New Roman" w:hAnsi="Times New Roman" w:cs="Times New Roman"/>
          <w:sz w:val="28"/>
          <w:szCs w:val="28"/>
        </w:rPr>
        <w:t>о счету  </w:t>
      </w:r>
      <w:r w:rsidR="00893A6F">
        <w:rPr>
          <w:rFonts w:ascii="Times New Roman" w:hAnsi="Times New Roman" w:cs="Times New Roman"/>
          <w:sz w:val="28"/>
          <w:szCs w:val="28"/>
        </w:rPr>
        <w:t xml:space="preserve">0 </w:t>
      </w:r>
      <w:r w:rsidR="00884785">
        <w:rPr>
          <w:rFonts w:ascii="Times New Roman" w:hAnsi="Times New Roman" w:cs="Times New Roman"/>
          <w:sz w:val="28"/>
          <w:szCs w:val="28"/>
        </w:rPr>
        <w:t xml:space="preserve">302 «Расходы по принятым обязательствам» </w:t>
      </w:r>
      <w:r>
        <w:rPr>
          <w:rFonts w:ascii="Times New Roman" w:hAnsi="Times New Roman" w:cs="Times New Roman"/>
          <w:sz w:val="28"/>
          <w:szCs w:val="28"/>
        </w:rPr>
        <w:t>кредиторская задолженность на 1.01.2016 года составляет 14272,1</w:t>
      </w:r>
      <w:r w:rsidR="0088478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на 1.04.2016 увеличена на 7743,1 тыс. рублей и составляет 22015,2 тыс. рублей, к уровню </w:t>
      </w:r>
      <w:r w:rsidR="00930DEE">
        <w:rPr>
          <w:rFonts w:ascii="Times New Roman" w:hAnsi="Times New Roman" w:cs="Times New Roman"/>
          <w:sz w:val="28"/>
          <w:szCs w:val="28"/>
        </w:rPr>
        <w:t>аналогичного периода прошлого финансового года увеличение составило 8098,9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06" w:rsidRDefault="00A04806" w:rsidP="00993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147" w:rsidRDefault="00993147" w:rsidP="00993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работниками учреждений</w:t>
      </w:r>
    </w:p>
    <w:p w:rsidR="00893A6F" w:rsidRDefault="00893A6F" w:rsidP="004E3381">
      <w:pPr>
        <w:pStyle w:val="ConsPlusNormal"/>
        <w:numPr>
          <w:ilvl w:val="0"/>
          <w:numId w:val="5"/>
        </w:numPr>
        <w:jc w:val="both"/>
      </w:pPr>
      <w:r>
        <w:t>Расчеты по заработной плате (счет 0 302 11 000) – 4577,1 тыс. рублей</w:t>
      </w:r>
      <w:r w:rsidR="00993147">
        <w:t>,</w:t>
      </w:r>
      <w:r>
        <w:t xml:space="preserve"> </w:t>
      </w:r>
    </w:p>
    <w:p w:rsidR="00893A6F" w:rsidRDefault="00893A6F" w:rsidP="004E3381">
      <w:pPr>
        <w:pStyle w:val="ConsPlusNormal"/>
        <w:numPr>
          <w:ilvl w:val="0"/>
          <w:numId w:val="5"/>
        </w:numPr>
        <w:jc w:val="both"/>
      </w:pPr>
      <w:r>
        <w:t xml:space="preserve">Расчеты по прочим выплатам (счет 0 302 12 000) </w:t>
      </w:r>
      <w:r w:rsidR="00993147">
        <w:t>– 47,2 тыс. рублей,</w:t>
      </w:r>
    </w:p>
    <w:p w:rsidR="00993147" w:rsidRDefault="00993147" w:rsidP="004E3381">
      <w:pPr>
        <w:pStyle w:val="ConsPlusNormal"/>
        <w:numPr>
          <w:ilvl w:val="0"/>
          <w:numId w:val="5"/>
        </w:numPr>
        <w:jc w:val="both"/>
      </w:pPr>
      <w:r>
        <w:t>Расчеты по начислениям на выплаты по оплате труда (счет 0 302 13 000) – 296,3 тыс. рублей.</w:t>
      </w: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494A50" w:rsidRPr="00494A50" w:rsidRDefault="007A22C9" w:rsidP="0010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71105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66A8C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«О бюджете на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B">
        <w:rPr>
          <w:rFonts w:ascii="Times New Roman" w:hAnsi="Times New Roman" w:cs="Times New Roman"/>
          <w:sz w:val="28"/>
          <w:szCs w:val="28"/>
        </w:rPr>
        <w:t>»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C156B">
        <w:rPr>
          <w:rFonts w:ascii="Times New Roman" w:hAnsi="Times New Roman" w:cs="Times New Roman"/>
          <w:sz w:val="28"/>
          <w:szCs w:val="28"/>
        </w:rPr>
        <w:t>1277,0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тыс. рублей. В отчетном периоде в бюджетную роспись источников </w:t>
      </w:r>
      <w:r w:rsidR="00AA6E16" w:rsidRPr="00166A8C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 на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год внесены изменения, увеличивающие дефицит на сумму </w:t>
      </w:r>
      <w:r w:rsidR="000C156B">
        <w:rPr>
          <w:rFonts w:ascii="Times New Roman" w:hAnsi="Times New Roman" w:cs="Times New Roman"/>
          <w:sz w:val="28"/>
          <w:szCs w:val="28"/>
        </w:rPr>
        <w:t>677,0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0B5D" w:rsidRPr="005D0B5D">
        <w:rPr>
          <w:rFonts w:ascii="Times New Roman" w:hAnsi="Times New Roman" w:cs="Times New Roman"/>
          <w:sz w:val="28"/>
          <w:szCs w:val="28"/>
        </w:rPr>
        <w:t>.</w:t>
      </w:r>
      <w:r w:rsidR="00AA6E16" w:rsidRPr="005D0B5D">
        <w:rPr>
          <w:rFonts w:ascii="Times New Roman" w:hAnsi="Times New Roman" w:cs="Times New Roman"/>
          <w:sz w:val="28"/>
          <w:szCs w:val="28"/>
        </w:rPr>
        <w:t xml:space="preserve"> </w:t>
      </w:r>
      <w:r w:rsidR="009B616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года.</w:t>
      </w:r>
      <w:r w:rsidR="000C1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исполнен 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49080,2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19,6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2015 года исполнение составило 78,8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50535,3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21,7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1455,1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5D7E" w:rsidRDefault="00A25D7E" w:rsidP="00A2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C156B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средств.</w:t>
      </w:r>
    </w:p>
    <w:p w:rsidR="00A25D7E" w:rsidRDefault="00A25D7E" w:rsidP="00A25D7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«Социальное обеспечение населения». </w:t>
      </w: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в отчетном периоде составило </w:t>
      </w:r>
      <w:r w:rsidR="000C15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тыс. рулей.</w:t>
      </w:r>
    </w:p>
    <w:p w:rsidR="00A04806" w:rsidRDefault="003413AB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166A8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C156B">
        <w:rPr>
          <w:rFonts w:ascii="Times New Roman" w:hAnsi="Times New Roman" w:cs="Times New Roman"/>
          <w:sz w:val="28"/>
          <w:szCs w:val="28"/>
        </w:rPr>
        <w:t>1954,0</w:t>
      </w:r>
      <w:r w:rsidRPr="00166A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0C156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И.А. Шевелев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5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3AB" w:rsidRPr="000C156B" w:rsidRDefault="000C156B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22B30" w:rsidRPr="00250E9F" w:rsidRDefault="00822B30" w:rsidP="008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0">
        <w:rPr>
          <w:rFonts w:ascii="Times New Roman" w:hAnsi="Times New Roman" w:cs="Times New Roman"/>
          <w:sz w:val="28"/>
          <w:szCs w:val="28"/>
        </w:rPr>
        <w:t>Структур</w:t>
      </w:r>
      <w:r w:rsidRPr="00250E9F">
        <w:rPr>
          <w:rFonts w:ascii="Times New Roman" w:hAnsi="Times New Roman" w:cs="Times New Roman"/>
          <w:sz w:val="28"/>
          <w:szCs w:val="28"/>
        </w:rPr>
        <w:t>а  доходов бюджета муниципального образования «Дубровский район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60"/>
        <w:gridCol w:w="1559"/>
        <w:gridCol w:w="1559"/>
        <w:gridCol w:w="1276"/>
      </w:tblGrid>
      <w:tr w:rsidR="004916CE" w:rsidTr="004916CE">
        <w:trPr>
          <w:trHeight w:val="10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CE" w:rsidRPr="00250E9F" w:rsidRDefault="004916CE" w:rsidP="0049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квартал </w:t>
            </w:r>
            <w:r w:rsidRPr="00250E9F">
              <w:rPr>
                <w:rFonts w:ascii="Times New Roman" w:hAnsi="Times New Roman" w:cs="Times New Roman"/>
                <w:b/>
              </w:rPr>
              <w:t>201</w:t>
            </w:r>
            <w:r w:rsidR="002E5DB7">
              <w:rPr>
                <w:rFonts w:ascii="Times New Roman" w:hAnsi="Times New Roman" w:cs="Times New Roman"/>
                <w:b/>
              </w:rPr>
              <w:t>5</w:t>
            </w:r>
            <w:r w:rsidRPr="00250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исполнен                                               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>201</w:t>
            </w:r>
            <w:r w:rsidR="002E5DB7">
              <w:rPr>
                <w:rFonts w:ascii="Times New Roman" w:hAnsi="Times New Roman" w:cs="Times New Roman"/>
                <w:b/>
              </w:rPr>
              <w:t>6</w:t>
            </w:r>
            <w:r w:rsidRPr="00250E9F">
              <w:rPr>
                <w:rFonts w:ascii="Times New Roman" w:hAnsi="Times New Roman" w:cs="Times New Roman"/>
                <w:b/>
              </w:rPr>
              <w:t xml:space="preserve"> уточнен.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квартал </w:t>
            </w:r>
            <w:r w:rsidRPr="00250E9F">
              <w:rPr>
                <w:rFonts w:ascii="Times New Roman" w:hAnsi="Times New Roman" w:cs="Times New Roman"/>
                <w:b/>
              </w:rPr>
              <w:t>201</w:t>
            </w:r>
            <w:r w:rsidR="002E5DB7">
              <w:rPr>
                <w:rFonts w:ascii="Times New Roman" w:hAnsi="Times New Roman" w:cs="Times New Roman"/>
                <w:b/>
              </w:rPr>
              <w:t>6</w:t>
            </w:r>
            <w:r w:rsidRPr="00250E9F">
              <w:rPr>
                <w:rFonts w:ascii="Times New Roman" w:hAnsi="Times New Roman" w:cs="Times New Roman"/>
                <w:b/>
              </w:rPr>
              <w:t xml:space="preserve"> исполнен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250E9F">
              <w:rPr>
                <w:rFonts w:ascii="Times New Roman" w:hAnsi="Times New Roman" w:cs="Times New Roman"/>
                <w:b/>
              </w:rPr>
              <w:t>исполне</w:t>
            </w:r>
            <w:proofErr w:type="spellEnd"/>
            <w:r w:rsidRPr="00250E9F">
              <w:rPr>
                <w:rFonts w:ascii="Times New Roman" w:hAnsi="Times New Roman" w:cs="Times New Roman"/>
                <w:b/>
              </w:rPr>
              <w:t>.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  <w:p w:rsidR="004916CE" w:rsidRPr="00250E9F" w:rsidRDefault="004916CE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5DB7" w:rsidTr="004916CE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Единый с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250E9F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2E5DB7" w:rsidTr="004916CE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49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Задолженность по отмененным налогам, сборам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491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491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491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</w:p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07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</w:p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Default="002E5DB7" w:rsidP="00885A7C">
            <w:pPr>
              <w:jc w:val="center"/>
              <w:rPr>
                <w:rFonts w:ascii="Times New Roman" w:hAnsi="Times New Roman" w:cs="Times New Roman"/>
              </w:rPr>
            </w:pPr>
          </w:p>
          <w:p w:rsidR="002F7C0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Default="002E5DB7" w:rsidP="00885A7C">
            <w:pPr>
              <w:jc w:val="center"/>
              <w:rPr>
                <w:rFonts w:ascii="Times New Roman" w:hAnsi="Times New Roman" w:cs="Times New Roman"/>
              </w:rPr>
            </w:pPr>
          </w:p>
          <w:p w:rsidR="002F7C0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E5DB7" w:rsidP="0047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</w:p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7" w:rsidRPr="00250E9F" w:rsidRDefault="002F7C07" w:rsidP="0047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48 263,5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FE3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 xml:space="preserve">Дотации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E5DB7" w:rsidTr="004916CE">
        <w:trPr>
          <w:trHeight w:val="4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Default="002E5DB7" w:rsidP="00FE3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 xml:space="preserve">Субвенции </w:t>
            </w:r>
          </w:p>
          <w:p w:rsidR="002E5DB7" w:rsidRPr="00250E9F" w:rsidRDefault="002E5DB7" w:rsidP="00FE3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62 699,3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AA6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</w:t>
            </w:r>
          </w:p>
        </w:tc>
      </w:tr>
      <w:tr w:rsidR="002E5DB7" w:rsidTr="004916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88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том числе </w:t>
            </w:r>
            <w:r w:rsidRPr="00250E9F">
              <w:rPr>
                <w:rFonts w:ascii="Times New Roman" w:hAnsi="Times New Roman" w:cs="Times New Roman"/>
                <w:b/>
              </w:rPr>
              <w:t xml:space="preserve"> собственных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E5DB7" w:rsidP="0099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14 435,8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7" w:rsidRPr="00250E9F" w:rsidRDefault="002F7C07" w:rsidP="0088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</w:tr>
    </w:tbl>
    <w:p w:rsidR="00822B30" w:rsidRDefault="00822B30" w:rsidP="008211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4168D8" w:rsidRDefault="004168D8" w:rsidP="008211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4168D8" w:rsidRPr="00250E9F" w:rsidRDefault="004168D8" w:rsidP="0041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0">
        <w:rPr>
          <w:rFonts w:ascii="Times New Roman" w:hAnsi="Times New Roman" w:cs="Times New Roman"/>
          <w:sz w:val="28"/>
          <w:szCs w:val="28"/>
        </w:rPr>
        <w:t>Структур</w:t>
      </w:r>
      <w:r w:rsidRPr="00250E9F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250E9F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«Дубровский район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60"/>
        <w:gridCol w:w="1559"/>
        <w:gridCol w:w="1559"/>
        <w:gridCol w:w="1276"/>
      </w:tblGrid>
      <w:tr w:rsidR="004168D8" w:rsidTr="004168D8">
        <w:trPr>
          <w:trHeight w:val="10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E9F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квартал </w:t>
            </w:r>
            <w:r w:rsidRPr="00250E9F">
              <w:rPr>
                <w:rFonts w:ascii="Times New Roman" w:hAnsi="Times New Roman" w:cs="Times New Roman"/>
                <w:b/>
              </w:rPr>
              <w:t>201</w:t>
            </w:r>
            <w:r w:rsidR="00D163AE">
              <w:rPr>
                <w:rFonts w:ascii="Times New Roman" w:hAnsi="Times New Roman" w:cs="Times New Roman"/>
                <w:b/>
              </w:rPr>
              <w:t>5</w:t>
            </w:r>
            <w:r w:rsidRPr="00250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исполнен                                               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>201</w:t>
            </w:r>
            <w:r w:rsidR="00D163AE">
              <w:rPr>
                <w:rFonts w:ascii="Times New Roman" w:hAnsi="Times New Roman" w:cs="Times New Roman"/>
                <w:b/>
              </w:rPr>
              <w:t>6</w:t>
            </w:r>
            <w:r w:rsidRPr="00250E9F">
              <w:rPr>
                <w:rFonts w:ascii="Times New Roman" w:hAnsi="Times New Roman" w:cs="Times New Roman"/>
                <w:b/>
              </w:rPr>
              <w:t xml:space="preserve"> уточнен.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квартал </w:t>
            </w:r>
            <w:r w:rsidRPr="00250E9F">
              <w:rPr>
                <w:rFonts w:ascii="Times New Roman" w:hAnsi="Times New Roman" w:cs="Times New Roman"/>
                <w:b/>
              </w:rPr>
              <w:t>201</w:t>
            </w:r>
            <w:r w:rsidR="00D163AE">
              <w:rPr>
                <w:rFonts w:ascii="Times New Roman" w:hAnsi="Times New Roman" w:cs="Times New Roman"/>
                <w:b/>
              </w:rPr>
              <w:t>6</w:t>
            </w:r>
            <w:r w:rsidRPr="00250E9F">
              <w:rPr>
                <w:rFonts w:ascii="Times New Roman" w:hAnsi="Times New Roman" w:cs="Times New Roman"/>
                <w:b/>
              </w:rPr>
              <w:t xml:space="preserve"> исполнен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250E9F">
              <w:rPr>
                <w:rFonts w:ascii="Times New Roman" w:hAnsi="Times New Roman" w:cs="Times New Roman"/>
                <w:b/>
              </w:rPr>
              <w:t>исполне</w:t>
            </w:r>
            <w:proofErr w:type="spellEnd"/>
            <w:r w:rsidRPr="00250E9F">
              <w:rPr>
                <w:rFonts w:ascii="Times New Roman" w:hAnsi="Times New Roman" w:cs="Times New Roman"/>
                <w:b/>
              </w:rPr>
              <w:t>.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  <w:p w:rsidR="004168D8" w:rsidRPr="00250E9F" w:rsidRDefault="004168D8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E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163AE" w:rsidTr="004168D8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4168D8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D8">
              <w:rPr>
                <w:rFonts w:ascii="Times New Roman" w:hAnsi="Times New Roman" w:cs="Times New Roman"/>
              </w:rPr>
              <w:t>01 «Общегосударственные расходы»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4168D8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4168D8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4168D8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4168D8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«Национальная оборона»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«Национальная экономика»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«Жилищно-коммунальное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«Образование»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D163AE" w:rsidTr="004168D8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«Культура, кинематография»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4168D8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D8">
              <w:rPr>
                <w:rFonts w:ascii="Times New Roman" w:hAnsi="Times New Roman" w:cs="Times New Roman"/>
              </w:rPr>
              <w:t>10 «Социальная политика»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4168D8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4168D8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4168D8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4168D8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D163AE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«Физическая культура и спорт»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41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«Межбюджетные трансферты»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D163AE" w:rsidTr="004168D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D163AE" w:rsidP="004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D163AE" w:rsidP="0099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60 338,0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232976,8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AE" w:rsidRPr="00250E9F" w:rsidRDefault="00B275B7" w:rsidP="00416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</w:t>
            </w:r>
          </w:p>
        </w:tc>
      </w:tr>
    </w:tbl>
    <w:p w:rsidR="004168D8" w:rsidRPr="00C2762E" w:rsidRDefault="004168D8" w:rsidP="00821170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sectPr w:rsidR="004168D8" w:rsidRPr="00C2762E" w:rsidSect="006A106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1D" w:rsidRDefault="00272B1D" w:rsidP="006A1065">
      <w:pPr>
        <w:spacing w:after="0" w:line="240" w:lineRule="auto"/>
      </w:pPr>
      <w:r>
        <w:separator/>
      </w:r>
    </w:p>
  </w:endnote>
  <w:endnote w:type="continuationSeparator" w:id="0">
    <w:p w:rsidR="00272B1D" w:rsidRDefault="00272B1D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1D" w:rsidRDefault="00272B1D" w:rsidP="006A1065">
      <w:pPr>
        <w:spacing w:after="0" w:line="240" w:lineRule="auto"/>
      </w:pPr>
      <w:r>
        <w:separator/>
      </w:r>
    </w:p>
  </w:footnote>
  <w:footnote w:type="continuationSeparator" w:id="0">
    <w:p w:rsidR="00272B1D" w:rsidRDefault="00272B1D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A36C27" w:rsidRDefault="001C5991">
        <w:pPr>
          <w:pStyle w:val="a6"/>
          <w:jc w:val="center"/>
        </w:pPr>
        <w:fldSimple w:instr=" PAGE   \* MERGEFORMAT ">
          <w:r w:rsidR="00A04806">
            <w:rPr>
              <w:noProof/>
            </w:rPr>
            <w:t>16</w:t>
          </w:r>
        </w:fldSimple>
      </w:p>
    </w:sdtContent>
  </w:sdt>
  <w:p w:rsidR="00A36C27" w:rsidRDefault="00A36C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11DCD"/>
    <w:rsid w:val="00032B0C"/>
    <w:rsid w:val="00036E63"/>
    <w:rsid w:val="00040871"/>
    <w:rsid w:val="000523AA"/>
    <w:rsid w:val="0005550E"/>
    <w:rsid w:val="0006117C"/>
    <w:rsid w:val="0007240A"/>
    <w:rsid w:val="0007279C"/>
    <w:rsid w:val="000814E6"/>
    <w:rsid w:val="000840F5"/>
    <w:rsid w:val="000B67E1"/>
    <w:rsid w:val="000C156B"/>
    <w:rsid w:val="00101046"/>
    <w:rsid w:val="0010706C"/>
    <w:rsid w:val="00121018"/>
    <w:rsid w:val="00127028"/>
    <w:rsid w:val="00140C6E"/>
    <w:rsid w:val="0016257C"/>
    <w:rsid w:val="00166A8C"/>
    <w:rsid w:val="001A6777"/>
    <w:rsid w:val="001B7AA9"/>
    <w:rsid w:val="001C25FB"/>
    <w:rsid w:val="001C5991"/>
    <w:rsid w:val="001E1B52"/>
    <w:rsid w:val="00242A03"/>
    <w:rsid w:val="00250E9F"/>
    <w:rsid w:val="00265FDC"/>
    <w:rsid w:val="00266F64"/>
    <w:rsid w:val="00271458"/>
    <w:rsid w:val="00272B1D"/>
    <w:rsid w:val="002731EA"/>
    <w:rsid w:val="002857BA"/>
    <w:rsid w:val="002A44B5"/>
    <w:rsid w:val="002C59AE"/>
    <w:rsid w:val="002C5BD6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33AD"/>
    <w:rsid w:val="0031490B"/>
    <w:rsid w:val="00325067"/>
    <w:rsid w:val="00340DE2"/>
    <w:rsid w:val="003413AB"/>
    <w:rsid w:val="00344E0A"/>
    <w:rsid w:val="00353C90"/>
    <w:rsid w:val="00354B85"/>
    <w:rsid w:val="00356660"/>
    <w:rsid w:val="003666C0"/>
    <w:rsid w:val="00367B50"/>
    <w:rsid w:val="003771AD"/>
    <w:rsid w:val="003820CF"/>
    <w:rsid w:val="0038303A"/>
    <w:rsid w:val="00385EEF"/>
    <w:rsid w:val="003B3CDA"/>
    <w:rsid w:val="003D7E3B"/>
    <w:rsid w:val="003E0A2E"/>
    <w:rsid w:val="003F7511"/>
    <w:rsid w:val="00400A0C"/>
    <w:rsid w:val="0040510C"/>
    <w:rsid w:val="004168D8"/>
    <w:rsid w:val="00454A25"/>
    <w:rsid w:val="00465E54"/>
    <w:rsid w:val="0047074F"/>
    <w:rsid w:val="00470918"/>
    <w:rsid w:val="0047637B"/>
    <w:rsid w:val="0049034E"/>
    <w:rsid w:val="004916CE"/>
    <w:rsid w:val="00494A50"/>
    <w:rsid w:val="004A29E9"/>
    <w:rsid w:val="004A69C7"/>
    <w:rsid w:val="004D4045"/>
    <w:rsid w:val="004E3381"/>
    <w:rsid w:val="004F3B0E"/>
    <w:rsid w:val="00503C9C"/>
    <w:rsid w:val="00504D19"/>
    <w:rsid w:val="00507A3B"/>
    <w:rsid w:val="0051034D"/>
    <w:rsid w:val="0051267E"/>
    <w:rsid w:val="005221DD"/>
    <w:rsid w:val="005425C6"/>
    <w:rsid w:val="00544267"/>
    <w:rsid w:val="00566A72"/>
    <w:rsid w:val="00571BBD"/>
    <w:rsid w:val="005735F0"/>
    <w:rsid w:val="005924E0"/>
    <w:rsid w:val="00595E72"/>
    <w:rsid w:val="00596B3D"/>
    <w:rsid w:val="005A3CED"/>
    <w:rsid w:val="005C386E"/>
    <w:rsid w:val="005C6238"/>
    <w:rsid w:val="005C7DD6"/>
    <w:rsid w:val="005D0B5D"/>
    <w:rsid w:val="005D5A13"/>
    <w:rsid w:val="005F2039"/>
    <w:rsid w:val="00605C8F"/>
    <w:rsid w:val="00622C65"/>
    <w:rsid w:val="006312B1"/>
    <w:rsid w:val="00631324"/>
    <w:rsid w:val="00643FBC"/>
    <w:rsid w:val="00644B50"/>
    <w:rsid w:val="00644D1D"/>
    <w:rsid w:val="00655C16"/>
    <w:rsid w:val="006848BB"/>
    <w:rsid w:val="006A1065"/>
    <w:rsid w:val="006C6C97"/>
    <w:rsid w:val="006D1BF2"/>
    <w:rsid w:val="006D283A"/>
    <w:rsid w:val="006E3D99"/>
    <w:rsid w:val="006E6205"/>
    <w:rsid w:val="006F3907"/>
    <w:rsid w:val="006F6B36"/>
    <w:rsid w:val="007007D4"/>
    <w:rsid w:val="00710C95"/>
    <w:rsid w:val="0071105E"/>
    <w:rsid w:val="00714744"/>
    <w:rsid w:val="00723C9A"/>
    <w:rsid w:val="00723E95"/>
    <w:rsid w:val="007536D2"/>
    <w:rsid w:val="00753769"/>
    <w:rsid w:val="00754B09"/>
    <w:rsid w:val="0075632F"/>
    <w:rsid w:val="00771A32"/>
    <w:rsid w:val="007762FA"/>
    <w:rsid w:val="00784AF1"/>
    <w:rsid w:val="007A22C9"/>
    <w:rsid w:val="007D4B15"/>
    <w:rsid w:val="007F078F"/>
    <w:rsid w:val="007F7DE4"/>
    <w:rsid w:val="00811200"/>
    <w:rsid w:val="008119AF"/>
    <w:rsid w:val="00821170"/>
    <w:rsid w:val="00822B30"/>
    <w:rsid w:val="0083080F"/>
    <w:rsid w:val="008377C5"/>
    <w:rsid w:val="00851153"/>
    <w:rsid w:val="00854923"/>
    <w:rsid w:val="00873F11"/>
    <w:rsid w:val="0087610B"/>
    <w:rsid w:val="00880CE9"/>
    <w:rsid w:val="00883933"/>
    <w:rsid w:val="00884785"/>
    <w:rsid w:val="00885A7C"/>
    <w:rsid w:val="00893A6F"/>
    <w:rsid w:val="008D1073"/>
    <w:rsid w:val="008E4110"/>
    <w:rsid w:val="008E67E4"/>
    <w:rsid w:val="0091033C"/>
    <w:rsid w:val="0092248D"/>
    <w:rsid w:val="00930DEE"/>
    <w:rsid w:val="009364B8"/>
    <w:rsid w:val="009834E0"/>
    <w:rsid w:val="00991498"/>
    <w:rsid w:val="00993147"/>
    <w:rsid w:val="00996211"/>
    <w:rsid w:val="009A4696"/>
    <w:rsid w:val="009B6164"/>
    <w:rsid w:val="009C6E7B"/>
    <w:rsid w:val="009E05A0"/>
    <w:rsid w:val="009E5861"/>
    <w:rsid w:val="009E6863"/>
    <w:rsid w:val="009E70FC"/>
    <w:rsid w:val="00A0299A"/>
    <w:rsid w:val="00A03ACA"/>
    <w:rsid w:val="00A04806"/>
    <w:rsid w:val="00A162EC"/>
    <w:rsid w:val="00A17103"/>
    <w:rsid w:val="00A23225"/>
    <w:rsid w:val="00A25D7E"/>
    <w:rsid w:val="00A36C27"/>
    <w:rsid w:val="00A41AEC"/>
    <w:rsid w:val="00A82279"/>
    <w:rsid w:val="00AA6E16"/>
    <w:rsid w:val="00AB0B83"/>
    <w:rsid w:val="00AF481F"/>
    <w:rsid w:val="00B05D2C"/>
    <w:rsid w:val="00B13676"/>
    <w:rsid w:val="00B177E2"/>
    <w:rsid w:val="00B20AF5"/>
    <w:rsid w:val="00B275B7"/>
    <w:rsid w:val="00B40C5C"/>
    <w:rsid w:val="00B42FE1"/>
    <w:rsid w:val="00B665B2"/>
    <w:rsid w:val="00B76060"/>
    <w:rsid w:val="00B8498D"/>
    <w:rsid w:val="00B867FE"/>
    <w:rsid w:val="00B96E28"/>
    <w:rsid w:val="00BD3FEF"/>
    <w:rsid w:val="00BD7669"/>
    <w:rsid w:val="00C04EB9"/>
    <w:rsid w:val="00C116EE"/>
    <w:rsid w:val="00C27438"/>
    <w:rsid w:val="00C2762E"/>
    <w:rsid w:val="00C5671A"/>
    <w:rsid w:val="00C57ED1"/>
    <w:rsid w:val="00C70353"/>
    <w:rsid w:val="00C82DEF"/>
    <w:rsid w:val="00C86A5C"/>
    <w:rsid w:val="00CD7012"/>
    <w:rsid w:val="00D10D76"/>
    <w:rsid w:val="00D163AE"/>
    <w:rsid w:val="00D232D7"/>
    <w:rsid w:val="00D36436"/>
    <w:rsid w:val="00D614F4"/>
    <w:rsid w:val="00D67FF3"/>
    <w:rsid w:val="00D8077F"/>
    <w:rsid w:val="00D90556"/>
    <w:rsid w:val="00DA77CA"/>
    <w:rsid w:val="00DB4E34"/>
    <w:rsid w:val="00DB731F"/>
    <w:rsid w:val="00DF5322"/>
    <w:rsid w:val="00E0091F"/>
    <w:rsid w:val="00E060FD"/>
    <w:rsid w:val="00E06AA4"/>
    <w:rsid w:val="00E1328B"/>
    <w:rsid w:val="00E754E6"/>
    <w:rsid w:val="00E77E06"/>
    <w:rsid w:val="00E93BF9"/>
    <w:rsid w:val="00E97AA4"/>
    <w:rsid w:val="00EA3A18"/>
    <w:rsid w:val="00EE2668"/>
    <w:rsid w:val="00F0782B"/>
    <w:rsid w:val="00F15158"/>
    <w:rsid w:val="00F21E0F"/>
    <w:rsid w:val="00F23C5E"/>
    <w:rsid w:val="00F241CE"/>
    <w:rsid w:val="00F260FE"/>
    <w:rsid w:val="00F40055"/>
    <w:rsid w:val="00F53680"/>
    <w:rsid w:val="00F60EC1"/>
    <w:rsid w:val="00F61F3A"/>
    <w:rsid w:val="00F86243"/>
    <w:rsid w:val="00F92F4A"/>
    <w:rsid w:val="00F958E6"/>
    <w:rsid w:val="00F959CF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259327E16B6E667D210CA287D9256E31FDDD49A235AAF2EDF8BCCA538A6906308881F2F3C52499VEZ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 2016 года</c:v>
                </c:pt>
                <c:pt idx="2">
                  <c:v>1 кв. 2015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34938.800000000003</c:v>
                </c:pt>
                <c:pt idx="2">
                  <c:v>48263.5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 2016 года</c:v>
                </c:pt>
                <c:pt idx="2">
                  <c:v>1 кв. 2015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1272</c:v>
                </c:pt>
                <c:pt idx="2">
                  <c:v>1141.5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 2016 года</c:v>
                </c:pt>
                <c:pt idx="2">
                  <c:v>1 кв. 2015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12869.4</c:v>
                </c:pt>
                <c:pt idx="2">
                  <c:v>13294.3</c:v>
                </c:pt>
              </c:numCache>
            </c:numRef>
          </c:val>
        </c:ser>
        <c:shape val="box"/>
        <c:axId val="122346496"/>
        <c:axId val="122395264"/>
        <c:axId val="0"/>
      </c:bar3DChart>
      <c:catAx>
        <c:axId val="122346496"/>
        <c:scaling>
          <c:orientation val="minMax"/>
        </c:scaling>
        <c:axPos val="l"/>
        <c:tickLblPos val="nextTo"/>
        <c:crossAx val="122395264"/>
        <c:crosses val="autoZero"/>
        <c:auto val="1"/>
        <c:lblAlgn val="ctr"/>
        <c:lblOffset val="100"/>
      </c:catAx>
      <c:valAx>
        <c:axId val="122395264"/>
        <c:scaling>
          <c:orientation val="minMax"/>
        </c:scaling>
        <c:axPos val="b"/>
        <c:majorGridlines/>
        <c:numFmt formatCode="General" sourceLinked="1"/>
        <c:tickLblPos val="nextTo"/>
        <c:crossAx val="1223464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2597.8000000000002</c:v>
                </c:pt>
                <c:pt idx="1">
                  <c:v>476.4</c:v>
                </c:pt>
                <c:pt idx="2">
                  <c:v>27997.7</c:v>
                </c:pt>
                <c:pt idx="3">
                  <c:v>1166.9000000000001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E9DB-A585-44D9-8746-989C9CDB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16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2015-06-18T12:53:00Z</cp:lastPrinted>
  <dcterms:created xsi:type="dcterms:W3CDTF">2015-06-16T04:42:00Z</dcterms:created>
  <dcterms:modified xsi:type="dcterms:W3CDTF">2016-07-29T04:19:00Z</dcterms:modified>
</cp:coreProperties>
</file>