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D3" w:rsidRPr="006247C8" w:rsidRDefault="00F255B6" w:rsidP="00795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95BD3" w:rsidRPr="006247C8" w:rsidRDefault="00795BD3" w:rsidP="00F255B6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795BD3" w:rsidRPr="006247C8" w:rsidRDefault="00795BD3" w:rsidP="00795BD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795BD3" w:rsidRPr="006247C8" w:rsidRDefault="00795BD3" w:rsidP="00795BD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5BD3" w:rsidRPr="006247C8" w:rsidRDefault="00795BD3" w:rsidP="00795BD3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 xml:space="preserve">от </w:t>
      </w:r>
      <w:r w:rsidR="007E22CA">
        <w:rPr>
          <w:rFonts w:ascii="Times New Roman" w:hAnsi="Times New Roman" w:cs="Times New Roman"/>
          <w:sz w:val="28"/>
          <w:szCs w:val="28"/>
        </w:rPr>
        <w:t>24.12.2024</w:t>
      </w:r>
      <w:r w:rsidRPr="006247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№ </w:t>
      </w:r>
      <w:r w:rsidR="007E22CA">
        <w:rPr>
          <w:rFonts w:ascii="Times New Roman" w:hAnsi="Times New Roman" w:cs="Times New Roman"/>
          <w:sz w:val="28"/>
          <w:szCs w:val="28"/>
        </w:rPr>
        <w:t>498</w:t>
      </w:r>
      <w:bookmarkStart w:id="0" w:name="_GoBack"/>
      <w:bookmarkEnd w:id="0"/>
    </w:p>
    <w:p w:rsidR="00795BD3" w:rsidRPr="006247C8" w:rsidRDefault="00795BD3" w:rsidP="00795BD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47C8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95BD3" w:rsidRPr="006247C8" w:rsidTr="002B4EF6">
        <w:tc>
          <w:tcPr>
            <w:tcW w:w="5495" w:type="dxa"/>
            <w:shd w:val="clear" w:color="auto" w:fill="auto"/>
          </w:tcPr>
          <w:p w:rsidR="00795BD3" w:rsidRPr="006247C8" w:rsidRDefault="00795BD3" w:rsidP="00795BD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</w:pPr>
            <w:r w:rsidRPr="006247C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B37F4A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поселений, вне границ населенных пунктов в границах</w:t>
            </w:r>
            <w:r w:rsidR="0020033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</w:t>
            </w:r>
            <w:r w:rsidR="00F255B6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</w:t>
            </w:r>
            <w:r w:rsidR="00B37F4A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Дубровского муниципального</w:t>
            </w:r>
            <w:r w:rsidR="00351F7B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2025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  <w:t> </w:t>
            </w:r>
          </w:p>
        </w:tc>
      </w:tr>
    </w:tbl>
    <w:p w:rsidR="00795BD3" w:rsidRPr="006247C8" w:rsidRDefault="00795BD3" w:rsidP="00795B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</w:p>
    <w:p w:rsidR="00795BD3" w:rsidRPr="006247C8" w:rsidRDefault="00795BD3" w:rsidP="00795B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5BD3" w:rsidRPr="006247C8" w:rsidRDefault="00795BD3" w:rsidP="00795B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6247C8">
        <w:rPr>
          <w:rFonts w:ascii="Times New Roman" w:hAnsi="Times New Roman" w:cs="Times New Roman"/>
          <w:bCs/>
          <w:color w:val="010101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</w:t>
      </w:r>
      <w:r w:rsidR="00351F7B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2025</w:t>
      </w:r>
      <w:r w:rsidRPr="006247C8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 </w:t>
      </w:r>
    </w:p>
    <w:p w:rsidR="00795BD3" w:rsidRPr="006247C8" w:rsidRDefault="00795BD3" w:rsidP="00795B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 w:rsidR="00351F7B">
        <w:rPr>
          <w:rFonts w:ascii="Times New Roman" w:eastAsia="Calibri" w:hAnsi="Times New Roman" w:cs="Times New Roman"/>
          <w:sz w:val="28"/>
          <w:szCs w:val="28"/>
        </w:rPr>
        <w:t>01 января 2025</w:t>
      </w: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5BD3" w:rsidRPr="006247C8" w:rsidRDefault="00795BD3" w:rsidP="00795B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</w:t>
      </w:r>
      <w:r w:rsidR="00F255B6">
        <w:rPr>
          <w:rFonts w:ascii="Times New Roman" w:eastAsia="Calibri" w:hAnsi="Times New Roman" w:cs="Times New Roman"/>
          <w:sz w:val="28"/>
          <w:szCs w:val="28"/>
        </w:rPr>
        <w:t xml:space="preserve">она» и разместить на </w:t>
      </w: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 сайте Дубровского муниципального района Брянской области в сети Интернет (</w:t>
      </w:r>
      <w:hyperlink r:id="rId5" w:history="1"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6247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95BD3" w:rsidRPr="00795BD3" w:rsidRDefault="00795BD3" w:rsidP="00795B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5BD3" w:rsidRPr="006247C8" w:rsidRDefault="00795BD3" w:rsidP="00795BD3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95BD3" w:rsidRPr="006247C8" w:rsidRDefault="00795BD3" w:rsidP="00795BD3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И.А. Шевелёв</w:t>
      </w:r>
    </w:p>
    <w:p w:rsidR="00D60A45" w:rsidRPr="00180E4F" w:rsidRDefault="00D60A45" w:rsidP="00D60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D60A45" w:rsidRPr="00114C47" w:rsidRDefault="00D60A45" w:rsidP="00D60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населенных пунктов поселений, вне границ населенных пунктов в границах Дубровского городского поселения </w:t>
      </w:r>
      <w:r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B4BB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 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городского поселения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</w:t>
      </w:r>
      <w:r w:rsidR="00CB4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 на 2025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</w:t>
      </w:r>
      <w:r w:rsidR="00F255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яемым законом ценностям, при осуществлении муниципального контроля на автомобильном транспорте, городском электрическом транспорте и  в дорожном хозяйстве в границах пунктов </w:t>
      </w:r>
      <w:proofErr w:type="spellStart"/>
      <w:r w:rsidR="00F255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поселений</w:t>
      </w:r>
      <w:r w:rsidR="00C54FE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,вне</w:t>
      </w:r>
      <w:proofErr w:type="spellEnd"/>
      <w:r w:rsidR="00C54FE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администрации Дубровского муниципального района, характеристика проблем, на решение которых направлена программа профилактики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городского поселения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муниципального района Брянской области (далее по тексту – 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осуществляется администрацией Дубровского района (далее по тексту – Администрация).</w:t>
      </w:r>
    </w:p>
    <w:p w:rsidR="00D60A45" w:rsidRPr="003C051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 – деятельность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ния, расположенн</w:t>
      </w:r>
      <w:r w:rsidR="00C54FE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ых вне границ населенных пунктов поселений, вне границ населенных пунктов в границах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77676821"/>
      <w:r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t>осуществлению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области организации регулярных перевозок;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D60A45" w:rsidRPr="003C0512" w:rsidRDefault="00D60A45" w:rsidP="00D60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D60A45" w:rsidRPr="00FE35A8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D60A45" w:rsidRPr="00FE35A8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контроля,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</w:t>
      </w:r>
      <w:r w:rsidR="00C54FE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профилактике нарушений в 2025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году.</w:t>
      </w:r>
    </w:p>
    <w:p w:rsidR="00D60A45" w:rsidRPr="000F1CD1" w:rsidRDefault="00C54FEA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В частности, в 2025</w:t>
      </w:r>
      <w:r w:rsidR="00D60A45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том числе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обязательных требований жилищного законодательства;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D60A45" w:rsidRPr="000F1CD1" w:rsidRDefault="00376228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В 2025</w:t>
      </w:r>
      <w:r w:rsidR="00D60A45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="00D60A4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автомобильном транспорте </w:t>
      </w:r>
      <w:r w:rsidR="00D60A45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</w:t>
      </w:r>
      <w:r w:rsidR="00C54FE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proofErr w:type="gramStart"/>
      <w:r w:rsidR="00C54FE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 </w:t>
      </w:r>
      <w:r w:rsidR="00D60A45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="00D60A45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Дубровского муниципального района Брянской области Программы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B4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Дубровского района на 202</w:t>
      </w:r>
      <w:r w:rsidR="00CB4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2. Цели и задачи реализации Программы 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конкретных подконтрольных субъектов</w:t>
      </w:r>
      <w:proofErr w:type="gramEnd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3. Перечень профилактических мероприятий, сроки (периодичность) их проведения 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могут проводиться следующие виды профилактических мероприятий: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0772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 Дубровского муниципального района Брянской области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органа.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контроль, ведется журнал учета консультирований.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 должностным лицом, уполномоченным осуществлять муниципальный контроль.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60A45" w:rsidRPr="00077232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за отчетным, подлежит публичному обсуждению.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60A45" w:rsidRPr="000F1CD1" w:rsidTr="00BB7D0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D60A45" w:rsidRPr="000F1CD1" w:rsidRDefault="00D60A45" w:rsidP="00BB7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D60A45" w:rsidRPr="000F1CD1" w:rsidRDefault="00D60A45" w:rsidP="00D60A45">
      <w:pPr>
        <w:rPr>
          <w:rFonts w:ascii="Times New Roman" w:hAnsi="Times New Roman" w:cs="Times New Roman"/>
          <w:sz w:val="24"/>
          <w:szCs w:val="24"/>
        </w:rPr>
      </w:pPr>
    </w:p>
    <w:p w:rsidR="00D60A45" w:rsidRPr="000F1CD1" w:rsidRDefault="00D36FE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4. Показатели результативности и эффективности Программы. 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D60A45" w:rsidRPr="000F1CD1" w:rsidTr="00BB7D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 органом муниципального контроля администрации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="00D36F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D36F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района .</w:t>
      </w:r>
      <w:proofErr w:type="gramEnd"/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городского поселения Дубровского муниципального</w:t>
      </w:r>
      <w:r w:rsidR="00CB4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 на 2025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D60A45" w:rsidRPr="000F1CD1" w:rsidRDefault="00D60A45" w:rsidP="00D6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D60A45" w:rsidRPr="000F1CD1" w:rsidRDefault="00D60A45" w:rsidP="00D6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D60A45" w:rsidRPr="000F1CD1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60A45" w:rsidRPr="000F1CD1" w:rsidRDefault="00A500CD" w:rsidP="00D60A45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D60A45" w:rsidRPr="000F1CD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proofErr w:type="gramEnd"/>
    </w:p>
    <w:p w:rsidR="00D60A45" w:rsidRPr="000F1CD1" w:rsidRDefault="00D60A45" w:rsidP="00D60A45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60A45" w:rsidRPr="000F1CD1" w:rsidRDefault="00D60A45" w:rsidP="00D60A45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F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F1CD1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</w:t>
      </w:r>
      <w:r w:rsidR="00CB4B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профилактических визитов в 2025</w:t>
      </w:r>
      <w:r w:rsidRPr="000F1C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D60A45" w:rsidRPr="000F1CD1" w:rsidTr="00BB7D0C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D60A45" w:rsidRPr="000F1CD1" w:rsidRDefault="00D60A45" w:rsidP="00BB7D0C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60A45" w:rsidRPr="000F1CD1" w:rsidRDefault="00D60A45" w:rsidP="00BB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60A45" w:rsidRPr="000F1CD1" w:rsidTr="00BB7D0C">
        <w:trPr>
          <w:trHeight w:val="1566"/>
        </w:trPr>
        <w:tc>
          <w:tcPr>
            <w:tcW w:w="63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0A45" w:rsidRPr="000F1CD1" w:rsidRDefault="00D60A45" w:rsidP="00BB7D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A45" w:rsidRPr="000F1CD1" w:rsidTr="00BB7D0C">
        <w:trPr>
          <w:trHeight w:val="461"/>
        </w:trPr>
        <w:tc>
          <w:tcPr>
            <w:tcW w:w="63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D60A45" w:rsidRPr="000F1CD1" w:rsidRDefault="00D60A45" w:rsidP="00BB7D0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A45" w:rsidRPr="000F1CD1" w:rsidTr="00BB7D0C">
        <w:trPr>
          <w:trHeight w:val="461"/>
        </w:trPr>
        <w:tc>
          <w:tcPr>
            <w:tcW w:w="63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D60A45" w:rsidRPr="000F1CD1" w:rsidRDefault="00D60A45" w:rsidP="00BB7D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A45" w:rsidRPr="000F1CD1" w:rsidTr="00BB7D0C">
        <w:trPr>
          <w:trHeight w:val="461"/>
        </w:trPr>
        <w:tc>
          <w:tcPr>
            <w:tcW w:w="63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D60A45" w:rsidRPr="000F1CD1" w:rsidRDefault="00D60A45" w:rsidP="00BB7D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60A45" w:rsidRPr="000F1CD1" w:rsidRDefault="00D60A45" w:rsidP="00BB7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60A45" w:rsidRPr="000F1CD1" w:rsidRDefault="00D60A45" w:rsidP="00BB7D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A45" w:rsidRPr="000F1CD1" w:rsidRDefault="00D60A45" w:rsidP="00D6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A45" w:rsidRPr="000F1CD1" w:rsidRDefault="00D60A45" w:rsidP="00D60A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A45" w:rsidRPr="000F1CD1" w:rsidRDefault="00D60A45" w:rsidP="00D60A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A45" w:rsidRPr="000F1CD1" w:rsidRDefault="00D60A45" w:rsidP="00D60A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A45" w:rsidRPr="000F1CD1" w:rsidRDefault="00D60A45" w:rsidP="00D60A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A45" w:rsidRPr="000F1CD1" w:rsidRDefault="00D60A45" w:rsidP="00D60A45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D60A45" w:rsidRPr="000F1CD1" w:rsidRDefault="00D60A45" w:rsidP="00D60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60A45" w:rsidRPr="000F1CD1" w:rsidRDefault="00D60A45" w:rsidP="00D60A45"/>
    <w:p w:rsidR="00D60A45" w:rsidRPr="00114C47" w:rsidRDefault="00D60A45" w:rsidP="00D60A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CBB" w:rsidRPr="00114C47" w:rsidRDefault="005F3CBB" w:rsidP="00D60A45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D60A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8B9"/>
    <w:multiLevelType w:val="hybridMultilevel"/>
    <w:tmpl w:val="6AF4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A09A0"/>
    <w:rsid w:val="000D582D"/>
    <w:rsid w:val="00114C47"/>
    <w:rsid w:val="0015665C"/>
    <w:rsid w:val="00180E4F"/>
    <w:rsid w:val="001D7E30"/>
    <w:rsid w:val="00200331"/>
    <w:rsid w:val="00261652"/>
    <w:rsid w:val="0027461E"/>
    <w:rsid w:val="00291157"/>
    <w:rsid w:val="002F2C0D"/>
    <w:rsid w:val="002F45AE"/>
    <w:rsid w:val="00306641"/>
    <w:rsid w:val="00351F7B"/>
    <w:rsid w:val="00376228"/>
    <w:rsid w:val="003B2FC8"/>
    <w:rsid w:val="003C0512"/>
    <w:rsid w:val="003C4CE2"/>
    <w:rsid w:val="00405B99"/>
    <w:rsid w:val="004114AE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6432"/>
    <w:rsid w:val="00606D48"/>
    <w:rsid w:val="0061368D"/>
    <w:rsid w:val="00616E6F"/>
    <w:rsid w:val="006F1316"/>
    <w:rsid w:val="00795BD3"/>
    <w:rsid w:val="007E22CA"/>
    <w:rsid w:val="00860DA0"/>
    <w:rsid w:val="008D4C83"/>
    <w:rsid w:val="009039CD"/>
    <w:rsid w:val="00931342"/>
    <w:rsid w:val="00997F00"/>
    <w:rsid w:val="009F221A"/>
    <w:rsid w:val="00A121D5"/>
    <w:rsid w:val="00A132B9"/>
    <w:rsid w:val="00A500CD"/>
    <w:rsid w:val="00A67A1C"/>
    <w:rsid w:val="00A71BB8"/>
    <w:rsid w:val="00B20ABF"/>
    <w:rsid w:val="00B37F4A"/>
    <w:rsid w:val="00BA1923"/>
    <w:rsid w:val="00BF3FCE"/>
    <w:rsid w:val="00BF7ABC"/>
    <w:rsid w:val="00C407E7"/>
    <w:rsid w:val="00C54FEA"/>
    <w:rsid w:val="00C67C6F"/>
    <w:rsid w:val="00CB4BB6"/>
    <w:rsid w:val="00CB6436"/>
    <w:rsid w:val="00CE7BE5"/>
    <w:rsid w:val="00D204C0"/>
    <w:rsid w:val="00D22A8C"/>
    <w:rsid w:val="00D36FE5"/>
    <w:rsid w:val="00D50A0C"/>
    <w:rsid w:val="00D60A45"/>
    <w:rsid w:val="00DC7D41"/>
    <w:rsid w:val="00DD0AB8"/>
    <w:rsid w:val="00E03B73"/>
    <w:rsid w:val="00E4250B"/>
    <w:rsid w:val="00E86374"/>
    <w:rsid w:val="00EA2406"/>
    <w:rsid w:val="00EB512B"/>
    <w:rsid w:val="00F255B6"/>
    <w:rsid w:val="00F455F2"/>
    <w:rsid w:val="00F85947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6128"/>
  <w15:docId w15:val="{032BF31B-67D0-44E5-8CFF-CBC4344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6"/>
    <w:uiPriority w:val="39"/>
    <w:rsid w:val="00D6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6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2025-02-03T11:24:00Z</cp:lastPrinted>
  <dcterms:created xsi:type="dcterms:W3CDTF">2021-11-10T12:04:00Z</dcterms:created>
  <dcterms:modified xsi:type="dcterms:W3CDTF">2025-02-05T09:18:00Z</dcterms:modified>
</cp:coreProperties>
</file>